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322" w:type="dxa"/>
        <w:tblLook w:val="04A0"/>
      </w:tblPr>
      <w:tblGrid>
        <w:gridCol w:w="3652"/>
        <w:gridCol w:w="5670"/>
      </w:tblGrid>
      <w:tr w:rsidR="0063634F" w:rsidTr="00E36AB1">
        <w:tc>
          <w:tcPr>
            <w:tcW w:w="3652" w:type="dxa"/>
          </w:tcPr>
          <w:p w:rsidR="0063634F" w:rsidRDefault="0063634F" w:rsidP="0063634F">
            <w:pPr>
              <w:widowControl w:val="0"/>
              <w:rPr>
                <w:b/>
              </w:rPr>
            </w:pPr>
            <w:r w:rsidRPr="00311480">
              <w:rPr>
                <w:b/>
              </w:rPr>
              <w:t>KARAR TARİHİ</w:t>
            </w:r>
            <w:r w:rsidRPr="00311480">
              <w:rPr>
                <w:b/>
              </w:rPr>
              <w:tab/>
            </w:r>
          </w:p>
        </w:tc>
        <w:tc>
          <w:tcPr>
            <w:tcW w:w="5670" w:type="dxa"/>
          </w:tcPr>
          <w:p w:rsidR="0063634F" w:rsidRDefault="00BD1E5A" w:rsidP="001626EA">
            <w:pPr>
              <w:widowControl w:val="0"/>
              <w:rPr>
                <w:b/>
              </w:rPr>
            </w:pPr>
            <w:r>
              <w:t>1</w:t>
            </w:r>
            <w:r w:rsidR="001626EA">
              <w:t>8</w:t>
            </w:r>
            <w:r>
              <w:t>.11.202</w:t>
            </w:r>
            <w:r w:rsidR="001626EA">
              <w:t>5</w:t>
            </w:r>
          </w:p>
        </w:tc>
      </w:tr>
      <w:tr w:rsidR="0063634F" w:rsidTr="00E36AB1">
        <w:tc>
          <w:tcPr>
            <w:tcW w:w="3652" w:type="dxa"/>
          </w:tcPr>
          <w:p w:rsidR="0063634F" w:rsidRDefault="0063634F" w:rsidP="0063634F">
            <w:pPr>
              <w:widowControl w:val="0"/>
              <w:rPr>
                <w:b/>
              </w:rPr>
            </w:pPr>
            <w:r w:rsidRPr="00311480">
              <w:rPr>
                <w:b/>
              </w:rPr>
              <w:t>KARAR NO</w:t>
            </w:r>
          </w:p>
        </w:tc>
        <w:tc>
          <w:tcPr>
            <w:tcW w:w="5670" w:type="dxa"/>
          </w:tcPr>
          <w:p w:rsidR="0063634F" w:rsidRDefault="0063634F" w:rsidP="00D96B60">
            <w:pPr>
              <w:widowControl w:val="0"/>
              <w:rPr>
                <w:b/>
              </w:rPr>
            </w:pPr>
            <w:r w:rsidRPr="00311480">
              <w:rPr>
                <w:b/>
              </w:rPr>
              <w:t>54034294.</w:t>
            </w:r>
            <w:r>
              <w:rPr>
                <w:b/>
              </w:rPr>
              <w:t>105.04</w:t>
            </w:r>
            <w:r w:rsidRPr="00311480">
              <w:t xml:space="preserve"> - [ </w:t>
            </w:r>
            <w:r w:rsidR="00EA7D57" w:rsidRPr="00EA7D57">
              <w:rPr>
                <w:b/>
              </w:rPr>
              <w:t>1</w:t>
            </w:r>
            <w:r w:rsidR="00331362">
              <w:rPr>
                <w:b/>
              </w:rPr>
              <w:t>1</w:t>
            </w:r>
            <w:r w:rsidRPr="00EA7D57">
              <w:rPr>
                <w:b/>
              </w:rPr>
              <w:t>/</w:t>
            </w:r>
            <w:r w:rsidR="001626EA">
              <w:rPr>
                <w:b/>
              </w:rPr>
              <w:t>21</w:t>
            </w:r>
            <w:r w:rsidR="00DC3AF9">
              <w:rPr>
                <w:b/>
              </w:rPr>
              <w:t>6</w:t>
            </w:r>
            <w:r w:rsidRPr="00311480">
              <w:t>]</w:t>
            </w:r>
          </w:p>
        </w:tc>
      </w:tr>
      <w:tr w:rsidR="0063634F" w:rsidTr="00E36AB1">
        <w:tc>
          <w:tcPr>
            <w:tcW w:w="3652" w:type="dxa"/>
          </w:tcPr>
          <w:p w:rsidR="0063634F" w:rsidRDefault="0063634F" w:rsidP="0063634F">
            <w:pPr>
              <w:widowControl w:val="0"/>
              <w:rPr>
                <w:b/>
              </w:rPr>
            </w:pPr>
            <w:r w:rsidRPr="00311480">
              <w:rPr>
                <w:b/>
              </w:rPr>
              <w:t xml:space="preserve">KONUSU  </w:t>
            </w:r>
          </w:p>
        </w:tc>
        <w:tc>
          <w:tcPr>
            <w:tcW w:w="5670" w:type="dxa"/>
          </w:tcPr>
          <w:p w:rsidR="0063634F" w:rsidRDefault="00D96B60" w:rsidP="00D96B60">
            <w:pPr>
              <w:widowControl w:val="0"/>
              <w:jc w:val="both"/>
              <w:rPr>
                <w:b/>
              </w:rPr>
            </w:pPr>
            <w:r w:rsidRPr="00FF4BC7">
              <w:t>202</w:t>
            </w:r>
            <w:r>
              <w:t>6</w:t>
            </w:r>
            <w:r w:rsidRPr="00FF4BC7">
              <w:t xml:space="preserve"> </w:t>
            </w:r>
            <w:r>
              <w:t xml:space="preserve">Mali </w:t>
            </w:r>
            <w:r w:rsidRPr="00FF4BC7">
              <w:t>Yılı ile İzleyen İki Yıla Ait Bütçe</w:t>
            </w:r>
          </w:p>
        </w:tc>
      </w:tr>
      <w:tr w:rsidR="00B34D64" w:rsidTr="00E36AB1">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670" w:type="dxa"/>
          </w:tcPr>
          <w:p w:rsidR="00B34D64" w:rsidRDefault="006C7069" w:rsidP="00B34D64">
            <w:pPr>
              <w:widowControl w:val="0"/>
              <w:rPr>
                <w:b/>
              </w:rPr>
            </w:pPr>
            <w:r>
              <w:rPr>
                <w:bCs/>
              </w:rPr>
              <w:t>Bekir AKSUN</w:t>
            </w:r>
            <w:r w:rsidR="00B34D64" w:rsidRPr="00311480">
              <w:tab/>
            </w:r>
          </w:p>
        </w:tc>
      </w:tr>
      <w:tr w:rsidR="00CD127E" w:rsidTr="00E36AB1">
        <w:tc>
          <w:tcPr>
            <w:tcW w:w="3652" w:type="dxa"/>
          </w:tcPr>
          <w:p w:rsidR="00CD127E" w:rsidRDefault="00CD127E" w:rsidP="00CD127E">
            <w:pPr>
              <w:widowControl w:val="0"/>
              <w:rPr>
                <w:b/>
              </w:rPr>
            </w:pPr>
            <w:r w:rsidRPr="00311480">
              <w:rPr>
                <w:b/>
              </w:rPr>
              <w:t>MECLİS KÂTİPLERİ</w:t>
            </w:r>
          </w:p>
        </w:tc>
        <w:tc>
          <w:tcPr>
            <w:tcW w:w="5670" w:type="dxa"/>
          </w:tcPr>
          <w:p w:rsidR="00CD127E" w:rsidRDefault="00CD127E" w:rsidP="00CD127E">
            <w:pPr>
              <w:widowControl w:val="0"/>
              <w:rPr>
                <w:b/>
              </w:rPr>
            </w:pPr>
            <w:r>
              <w:rPr>
                <w:bCs/>
              </w:rPr>
              <w:t>Yunus ATALAY, Mutlu Yasin KOÇOĞLU</w:t>
            </w:r>
          </w:p>
        </w:tc>
      </w:tr>
      <w:tr w:rsidR="00CD127E" w:rsidTr="00E36AB1">
        <w:trPr>
          <w:trHeight w:val="1534"/>
        </w:trPr>
        <w:tc>
          <w:tcPr>
            <w:tcW w:w="9322" w:type="dxa"/>
            <w:gridSpan w:val="2"/>
          </w:tcPr>
          <w:p w:rsidR="00CD127E" w:rsidRPr="00FB58E1" w:rsidRDefault="00CD127E" w:rsidP="00CD127E">
            <w:pPr>
              <w:widowControl w:val="0"/>
              <w:jc w:val="both"/>
              <w:rPr>
                <w:b/>
                <w:sz w:val="22"/>
                <w:szCs w:val="22"/>
              </w:rPr>
            </w:pPr>
            <w:r w:rsidRPr="00FB58E1">
              <w:rPr>
                <w:b/>
                <w:sz w:val="22"/>
                <w:szCs w:val="22"/>
              </w:rPr>
              <w:t>KATILAN MECLİS ÜYELERİ:</w:t>
            </w:r>
            <w:r w:rsidRPr="006B7927">
              <w:t xml:space="preserve"> </w:t>
            </w:r>
            <w:r>
              <w:t xml:space="preserve">Mustafa PABUÇCU, </w:t>
            </w:r>
            <w:r w:rsidRPr="006B7927">
              <w:t>Fuat ÇAMURCU,</w:t>
            </w:r>
            <w:r>
              <w:t xml:space="preserve">                                 </w:t>
            </w:r>
            <w:r w:rsidRPr="006B7927">
              <w:t xml:space="preserve">Nuri Recep ÖZDOĞAN, </w:t>
            </w:r>
            <w:r>
              <w:t xml:space="preserve">  </w:t>
            </w:r>
            <w:r w:rsidRPr="006B7927">
              <w:t>Hüseyin SÖĞÜRTLÜPINAR, Rahşan KÜLÜNK</w:t>
            </w:r>
            <w:r>
              <w:t xml:space="preserve">, </w:t>
            </w:r>
            <w:r w:rsidRPr="006B7927">
              <w:t>Alper DAŞ,</w:t>
            </w:r>
            <w:r>
              <w:t xml:space="preserve"> Erkan POLAT,</w:t>
            </w:r>
            <w:r w:rsidRPr="006B7927">
              <w:t xml:space="preserve"> Fatih ÖZBİR, Murat EYGÜL</w:t>
            </w:r>
            <w:r>
              <w:t xml:space="preserve">, İbrahim ERTUÇ, Bahadır PİR,               </w:t>
            </w:r>
            <w:r w:rsidRPr="006B7927">
              <w:t>Mahmut CANTEKİN, Yunus ATALAY, Mutlu Yasin KOÇOĞLU, Volkan YILDIRIM, Turan DERDİYOK,</w:t>
            </w:r>
            <w:r>
              <w:t xml:space="preserve"> </w:t>
            </w:r>
            <w:r w:rsidRPr="006B7927">
              <w:t xml:space="preserve">Vesile Şule ARSLAN, Yahya KOLAT, Kadir SARIOĞLU, </w:t>
            </w:r>
            <w:r>
              <w:t xml:space="preserve">            </w:t>
            </w:r>
            <w:r w:rsidRPr="006B7927">
              <w:t xml:space="preserve">Hasan ASLAN, </w:t>
            </w:r>
            <w:r>
              <w:t xml:space="preserve">Dilan Deniz HAN, </w:t>
            </w:r>
            <w:r w:rsidRPr="006B7927">
              <w:t>Hakan ÇAĞLAR, İlhami ZORLU, Ali Rıza KAŞIKÇI</w:t>
            </w:r>
          </w:p>
        </w:tc>
      </w:tr>
    </w:tbl>
    <w:p w:rsidR="00F47627" w:rsidRDefault="00F47627" w:rsidP="00CF1667">
      <w:pPr>
        <w:widowControl w:val="0"/>
        <w:tabs>
          <w:tab w:val="left" w:pos="5970"/>
        </w:tabs>
        <w:jc w:val="center"/>
        <w:rPr>
          <w:b/>
          <w:u w:val="single"/>
        </w:rPr>
      </w:pPr>
    </w:p>
    <w:p w:rsidR="00ED465E" w:rsidRDefault="00ED465E" w:rsidP="00CF1667">
      <w:pPr>
        <w:widowControl w:val="0"/>
        <w:tabs>
          <w:tab w:val="left" w:pos="5970"/>
        </w:tabs>
        <w:jc w:val="center"/>
        <w:rPr>
          <w:b/>
          <w:u w:val="single"/>
        </w:rPr>
      </w:pPr>
    </w:p>
    <w:p w:rsidR="001B20C9" w:rsidRDefault="0063634F" w:rsidP="00CF1667">
      <w:pPr>
        <w:widowControl w:val="0"/>
        <w:tabs>
          <w:tab w:val="left" w:pos="5970"/>
        </w:tabs>
        <w:jc w:val="center"/>
        <w:rPr>
          <w:b/>
          <w:u w:val="single"/>
        </w:rPr>
      </w:pPr>
      <w:r w:rsidRPr="00393C5F">
        <w:rPr>
          <w:b/>
          <w:u w:val="single"/>
        </w:rPr>
        <w:t>MECLİS KARARI</w:t>
      </w:r>
    </w:p>
    <w:p w:rsidR="007B2CD0" w:rsidRDefault="007B2CD0" w:rsidP="00CF1667">
      <w:pPr>
        <w:widowControl w:val="0"/>
        <w:tabs>
          <w:tab w:val="left" w:pos="5970"/>
        </w:tabs>
        <w:jc w:val="center"/>
        <w:rPr>
          <w:b/>
          <w:sz w:val="20"/>
          <w:szCs w:val="20"/>
          <w:u w:val="single"/>
        </w:rPr>
      </w:pPr>
    </w:p>
    <w:p w:rsidR="00ED465E" w:rsidRPr="007B2CD0" w:rsidRDefault="00ED465E" w:rsidP="00CF1667">
      <w:pPr>
        <w:widowControl w:val="0"/>
        <w:tabs>
          <w:tab w:val="left" w:pos="5970"/>
        </w:tabs>
        <w:jc w:val="center"/>
        <w:rPr>
          <w:b/>
          <w:sz w:val="20"/>
          <w:szCs w:val="20"/>
          <w:u w:val="single"/>
        </w:rPr>
      </w:pPr>
    </w:p>
    <w:p w:rsidR="00D96B60" w:rsidRPr="006142D3" w:rsidRDefault="00D96B60" w:rsidP="00D96B60">
      <w:pPr>
        <w:widowControl w:val="0"/>
        <w:ind w:firstLine="708"/>
        <w:jc w:val="both"/>
      </w:pPr>
      <w:r w:rsidRPr="006142D3">
        <w:t xml:space="preserve">5393 Sayılı Belediye Kanunu’nun 20. maddesine göre Belediye Meclisinin </w:t>
      </w:r>
      <w:r>
        <w:t>18</w:t>
      </w:r>
      <w:r w:rsidRPr="006142D3">
        <w:t>.1</w:t>
      </w:r>
      <w:r>
        <w:t>1</w:t>
      </w:r>
      <w:r w:rsidRPr="006142D3">
        <w:t>.202</w:t>
      </w:r>
      <w:r>
        <w:t>5</w:t>
      </w:r>
      <w:r w:rsidRPr="006142D3">
        <w:t xml:space="preserve"> </w:t>
      </w:r>
      <w:r>
        <w:t>Salı</w:t>
      </w:r>
      <w:r w:rsidRPr="006142D3">
        <w:t xml:space="preserve"> günü saat 1</w:t>
      </w:r>
      <w:r>
        <w:t>9</w:t>
      </w:r>
      <w:r w:rsidRPr="006142D3">
        <w:t>.00’d</w:t>
      </w:r>
      <w:r>
        <w:t>a</w:t>
      </w:r>
      <w:r w:rsidRPr="006142D3">
        <w:t xml:space="preserve"> yapılan </w:t>
      </w:r>
      <w:r>
        <w:t>2</w:t>
      </w:r>
      <w:r w:rsidRPr="006142D3">
        <w:t>. birleşimin 1. oturumunda;</w:t>
      </w:r>
    </w:p>
    <w:p w:rsidR="00D96B60" w:rsidRDefault="00DC3AF9" w:rsidP="00D96B60">
      <w:pPr>
        <w:widowControl w:val="0"/>
        <w:ind w:firstLine="708"/>
        <w:jc w:val="both"/>
      </w:pPr>
      <w:r>
        <w:t>Gündemin 2</w:t>
      </w:r>
      <w:r w:rsidR="00D96B60">
        <w:t>. maddesi olan: Mali Hizmetler Müdürlüğü tarafından meclise sunulan,</w:t>
      </w:r>
      <w:r w:rsidR="00D96B60" w:rsidRPr="00A4758B">
        <w:t xml:space="preserve"> </w:t>
      </w:r>
      <w:r w:rsidR="00D96B60">
        <w:t>28.10.2025 tarih 635 sayılı Encümen kararı 05.11.2025 tarih ve 11/205 sayılı meclis kararıyla Plan ve Bütçe Komisyonuna havale edilen 2026 Mali Yılı Bütçe Tasarısı üzerinde yapılan müzakereler neticesinde;</w:t>
      </w:r>
    </w:p>
    <w:p w:rsidR="00D96B60" w:rsidRDefault="00D96B60" w:rsidP="00D96B60">
      <w:pPr>
        <w:ind w:firstLine="708"/>
        <w:jc w:val="both"/>
      </w:pPr>
      <w:r>
        <w:t xml:space="preserve">5393 Sayılı Belediye Kanunu’nun 61 ve 62. maddeleri ile </w:t>
      </w:r>
      <w:r w:rsidRPr="00B879D0">
        <w:t xml:space="preserve">Mahalli İdareler Bütçe ve Muhasebe Yönetmeliğinin 29. </w:t>
      </w:r>
      <w:r>
        <w:t>m</w:t>
      </w:r>
      <w:r w:rsidRPr="00B879D0">
        <w:t xml:space="preserve">addesine </w:t>
      </w:r>
      <w:r>
        <w:t>istinaden, 2026</w:t>
      </w:r>
      <w:r w:rsidRPr="00AD1718">
        <w:t xml:space="preserve"> Mali Yılı </w:t>
      </w:r>
      <w:r>
        <w:t>Gelir Bütçesi 3.155.000.000,00.-TL</w:t>
      </w:r>
      <w:r w:rsidR="000B2357">
        <w:t xml:space="preserve"> </w:t>
      </w:r>
      <w:r>
        <w:t xml:space="preserve">(üçmilyaryüzellibeşmilyonlira) </w:t>
      </w:r>
      <w:r w:rsidRPr="00316E23">
        <w:t>20</w:t>
      </w:r>
      <w:r>
        <w:t>26</w:t>
      </w:r>
      <w:r w:rsidRPr="00316E23">
        <w:t xml:space="preserve"> </w:t>
      </w:r>
      <w:r>
        <w:t>Mali Yılı Gider Bütçesi</w:t>
      </w:r>
      <w:r>
        <w:rPr>
          <w:b/>
        </w:rPr>
        <w:t xml:space="preserve"> </w:t>
      </w:r>
      <w:r>
        <w:t>3.155.000.000,00.-TL</w:t>
      </w:r>
      <w:r w:rsidR="000B2357">
        <w:t xml:space="preserve">   (üçmilyaryüzellibeşmilyonlira)</w:t>
      </w:r>
      <w:r w:rsidR="000B2357" w:rsidRPr="00B1717D">
        <w:t xml:space="preserve"> </w:t>
      </w:r>
      <w:r w:rsidRPr="00B1717D">
        <w:t xml:space="preserve">olarak hazırlanmış </w:t>
      </w:r>
      <w:r>
        <w:t>olup</w:t>
      </w:r>
      <w:r w:rsidRPr="00B1717D">
        <w:t>,</w:t>
      </w:r>
      <w:r>
        <w:rPr>
          <w:b/>
        </w:rPr>
        <w:t xml:space="preserve"> </w:t>
      </w:r>
      <w:r>
        <w:t>Plan ve Bütçe Komisyonu raporu ve ekleri doğrultusunda;</w:t>
      </w:r>
    </w:p>
    <w:p w:rsidR="00D96B60" w:rsidRDefault="000E0055" w:rsidP="00D96B60">
      <w:pPr>
        <w:widowControl w:val="0"/>
        <w:ind w:firstLine="644"/>
        <w:jc w:val="both"/>
      </w:pPr>
      <w:r>
        <w:t>Mahalli</w:t>
      </w:r>
      <w:r w:rsidR="00D96B60">
        <w:t xml:space="preserve"> </w:t>
      </w:r>
      <w:r>
        <w:t xml:space="preserve">İdareler Bütçe ve Muhasebe Yönetmeliğinin 29. Maddesine istinaden </w:t>
      </w:r>
      <w:r w:rsidR="00D96B60">
        <w:t>2026 Mali Yılı Bütçesi ile izleyen iki yıla ait kurumsal bütçe kodları ile madde madde görüşülerek ad okunmak suretiyle yapılan oylama neticesinde;</w:t>
      </w:r>
    </w:p>
    <w:p w:rsidR="00D96B60" w:rsidRDefault="00D96B60" w:rsidP="00D96B60">
      <w:pPr>
        <w:widowControl w:val="0"/>
        <w:ind w:firstLine="644"/>
        <w:jc w:val="both"/>
        <w:rPr>
          <w:color w:val="000000"/>
        </w:rPr>
      </w:pPr>
      <w:r>
        <w:t>5393 sayılı Bele</w:t>
      </w:r>
      <w:r w:rsidR="000E0055">
        <w:t xml:space="preserve">diye Kanunu’nun 18. Maddesinin </w:t>
      </w:r>
      <w:r>
        <w:t>b) bendi gereğince oy birliği ile kabul edildi.</w:t>
      </w:r>
    </w:p>
    <w:p w:rsidR="00CD127E" w:rsidRDefault="00CD127E" w:rsidP="00CD127E">
      <w:pPr>
        <w:widowControl w:val="0"/>
        <w:jc w:val="both"/>
        <w:rPr>
          <w:b/>
          <w:bCs/>
        </w:rPr>
      </w:pPr>
    </w:p>
    <w:p w:rsidR="00CD127E" w:rsidRDefault="00CD127E" w:rsidP="00CD127E">
      <w:pPr>
        <w:widowControl w:val="0"/>
        <w:jc w:val="both"/>
        <w:rPr>
          <w:b/>
          <w:bCs/>
        </w:rPr>
      </w:pPr>
    </w:p>
    <w:p w:rsidR="00CD127E" w:rsidRDefault="00CD127E" w:rsidP="00CD127E">
      <w:pPr>
        <w:widowControl w:val="0"/>
        <w:jc w:val="both"/>
        <w:rPr>
          <w:b/>
          <w:bCs/>
        </w:rPr>
      </w:pPr>
    </w:p>
    <w:p w:rsidR="00CD127E" w:rsidRDefault="00CD127E" w:rsidP="00CD127E">
      <w:pPr>
        <w:widowControl w:val="0"/>
        <w:jc w:val="both"/>
        <w:rPr>
          <w:b/>
          <w:bCs/>
        </w:rPr>
      </w:pPr>
    </w:p>
    <w:p w:rsidR="00CD127E" w:rsidRDefault="00CD127E" w:rsidP="00CD127E">
      <w:pPr>
        <w:widowControl w:val="0"/>
        <w:jc w:val="both"/>
        <w:rPr>
          <w:b/>
          <w:bCs/>
        </w:rPr>
      </w:pPr>
    </w:p>
    <w:p w:rsidR="00CD127E" w:rsidRDefault="00CD127E" w:rsidP="00CD127E">
      <w:pPr>
        <w:widowControl w:val="0"/>
        <w:jc w:val="both"/>
        <w:rPr>
          <w:b/>
        </w:rPr>
      </w:pPr>
      <w:r>
        <w:rPr>
          <w:b/>
          <w:bCs/>
        </w:rPr>
        <w:t>Bekir AKSUN                         Yunus ATALAY                             Mutlu Yasin KOÇOĞLU</w:t>
      </w:r>
    </w:p>
    <w:p w:rsidR="00CD127E" w:rsidRDefault="00CD127E" w:rsidP="00CD127E">
      <w:pPr>
        <w:widowControl w:val="0"/>
        <w:jc w:val="both"/>
        <w:rPr>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CD127E" w:rsidRDefault="00CD127E" w:rsidP="00CD127E">
      <w:pPr>
        <w:tabs>
          <w:tab w:val="left" w:pos="567"/>
        </w:tabs>
        <w:jc w:val="both"/>
        <w:rPr>
          <w:color w:val="000000"/>
        </w:rPr>
      </w:pPr>
    </w:p>
    <w:p w:rsidR="000B6BDE" w:rsidRDefault="000B6BDE" w:rsidP="000B6BDE">
      <w:pPr>
        <w:tabs>
          <w:tab w:val="left" w:pos="567"/>
        </w:tabs>
        <w:jc w:val="both"/>
        <w:rPr>
          <w:color w:val="000000"/>
        </w:rPr>
      </w:pPr>
    </w:p>
    <w:p w:rsidR="005C1E46" w:rsidRDefault="005C1E46" w:rsidP="000B6BDE">
      <w:pPr>
        <w:pStyle w:val="Dizin"/>
        <w:rPr>
          <w:b/>
          <w:color w:val="000000"/>
        </w:rPr>
      </w:pPr>
    </w:p>
    <w:p w:rsidR="00EB7592" w:rsidRDefault="00EB7592" w:rsidP="000B6BDE">
      <w:pPr>
        <w:pStyle w:val="Dizin"/>
        <w:rPr>
          <w:b/>
          <w:color w:val="000000"/>
        </w:rPr>
      </w:pPr>
    </w:p>
    <w:p w:rsidR="00EB7592" w:rsidRDefault="00EB7592" w:rsidP="000B6BDE">
      <w:pPr>
        <w:pStyle w:val="Dizin"/>
        <w:rPr>
          <w:b/>
          <w:color w:val="000000"/>
        </w:rPr>
      </w:pPr>
    </w:p>
    <w:p w:rsidR="00EB7592" w:rsidRDefault="00EB7592" w:rsidP="000B6BDE">
      <w:pPr>
        <w:pStyle w:val="Dizin"/>
        <w:rPr>
          <w:b/>
          <w:color w:val="000000"/>
        </w:rPr>
      </w:pPr>
    </w:p>
    <w:p w:rsidR="00EB7592" w:rsidRDefault="00EB7592" w:rsidP="000B6BDE">
      <w:pPr>
        <w:pStyle w:val="Dizin"/>
        <w:rPr>
          <w:b/>
          <w:color w:val="000000"/>
        </w:rPr>
      </w:pPr>
    </w:p>
    <w:p w:rsidR="00EB7592" w:rsidRDefault="00EB7592" w:rsidP="000B6BDE">
      <w:pPr>
        <w:pStyle w:val="Dizin"/>
        <w:rPr>
          <w:b/>
          <w:color w:val="000000"/>
        </w:rPr>
      </w:pPr>
    </w:p>
    <w:p w:rsidR="00EB7592" w:rsidRDefault="00EB7592" w:rsidP="000B6BDE">
      <w:pPr>
        <w:pStyle w:val="Dizin"/>
        <w:rPr>
          <w:b/>
          <w:color w:val="000000"/>
        </w:rPr>
      </w:pPr>
    </w:p>
    <w:p w:rsidR="00EB7592" w:rsidRDefault="00EB7592" w:rsidP="000B6BDE">
      <w:pPr>
        <w:pStyle w:val="Dizin"/>
        <w:rPr>
          <w:b/>
          <w:color w:val="000000"/>
        </w:rPr>
      </w:pPr>
    </w:p>
    <w:p w:rsidR="00EB7592" w:rsidRDefault="00EB7592" w:rsidP="000B6BDE">
      <w:pPr>
        <w:pStyle w:val="Dizin"/>
        <w:rPr>
          <w:b/>
          <w:color w:val="000000"/>
        </w:rPr>
      </w:pPr>
    </w:p>
    <w:p w:rsidR="00EB7592" w:rsidRDefault="00EB7592" w:rsidP="00EB7592">
      <w:pPr>
        <w:pStyle w:val="Balk1"/>
      </w:pPr>
    </w:p>
    <w:p w:rsidR="00EB7592" w:rsidRDefault="00EB7592" w:rsidP="00EB7592">
      <w:pPr>
        <w:pStyle w:val="Balk1"/>
      </w:pPr>
      <w:r>
        <w:t>MECLİS BAŞKANLIĞINA</w:t>
      </w:r>
    </w:p>
    <w:p w:rsidR="00EB7592" w:rsidRPr="004A2226" w:rsidRDefault="00EB7592" w:rsidP="00EB7592"/>
    <w:p w:rsidR="00EB7592" w:rsidRPr="004A2226" w:rsidRDefault="00EB7592" w:rsidP="00EB7592">
      <w:pPr>
        <w:jc w:val="center"/>
        <w:rPr>
          <w:b/>
        </w:rPr>
      </w:pPr>
      <w:r w:rsidRPr="004A2226">
        <w:rPr>
          <w:b/>
        </w:rPr>
        <w:t>Plan Bütçe Komisyon Kararı</w:t>
      </w:r>
    </w:p>
    <w:p w:rsidR="00EB7592" w:rsidRDefault="00EB7592" w:rsidP="00EB7592"/>
    <w:p w:rsidR="00EB7592" w:rsidRDefault="00EB7592" w:rsidP="00EB7592">
      <w:pPr>
        <w:jc w:val="both"/>
      </w:pPr>
    </w:p>
    <w:p w:rsidR="00EB7592" w:rsidRDefault="00EB7592" w:rsidP="00EB7592">
      <w:pPr>
        <w:ind w:firstLine="708"/>
        <w:jc w:val="both"/>
        <w:rPr>
          <w:b/>
        </w:rPr>
      </w:pPr>
      <w:r w:rsidRPr="00D52535">
        <w:rPr>
          <w:b/>
        </w:rPr>
        <w:t>Belediyemizin Stratejik planlama ve performansına uygun olarak hazırlanan 20</w:t>
      </w:r>
      <w:r>
        <w:rPr>
          <w:b/>
        </w:rPr>
        <w:t>26 Mali Y</w:t>
      </w:r>
      <w:r w:rsidRPr="00D52535">
        <w:rPr>
          <w:b/>
        </w:rPr>
        <w:t xml:space="preserve">ılı </w:t>
      </w:r>
      <w:r>
        <w:rPr>
          <w:b/>
        </w:rPr>
        <w:t>B</w:t>
      </w:r>
      <w:r w:rsidRPr="00D52535">
        <w:rPr>
          <w:b/>
        </w:rPr>
        <w:t xml:space="preserve">ütçe </w:t>
      </w:r>
      <w:r>
        <w:rPr>
          <w:b/>
        </w:rPr>
        <w:t xml:space="preserve">Tasarısını incelemek üzere Plan ve </w:t>
      </w:r>
      <w:r w:rsidRPr="00D52535">
        <w:rPr>
          <w:b/>
        </w:rPr>
        <w:t xml:space="preserve">Bütçe Komisyonumuz </w:t>
      </w:r>
      <w:r>
        <w:rPr>
          <w:b/>
          <w:color w:val="FF0000"/>
        </w:rPr>
        <w:t>06</w:t>
      </w:r>
      <w:r w:rsidRPr="00EB6B77">
        <w:rPr>
          <w:b/>
          <w:color w:val="FF0000"/>
        </w:rPr>
        <w:t>/11/202</w:t>
      </w:r>
      <w:r>
        <w:rPr>
          <w:b/>
          <w:color w:val="FF0000"/>
        </w:rPr>
        <w:t>5</w:t>
      </w:r>
      <w:r>
        <w:rPr>
          <w:b/>
        </w:rPr>
        <w:t xml:space="preserve"> ile </w:t>
      </w:r>
      <w:r>
        <w:rPr>
          <w:b/>
          <w:color w:val="FF0000"/>
        </w:rPr>
        <w:t>17</w:t>
      </w:r>
      <w:r w:rsidRPr="00EB6B77">
        <w:rPr>
          <w:b/>
          <w:color w:val="FF0000"/>
        </w:rPr>
        <w:t>/11/20</w:t>
      </w:r>
      <w:r>
        <w:rPr>
          <w:b/>
          <w:color w:val="FF0000"/>
        </w:rPr>
        <w:t>25</w:t>
      </w:r>
      <w:r w:rsidRPr="00D52535">
        <w:rPr>
          <w:b/>
        </w:rPr>
        <w:t xml:space="preserve"> tarih</w:t>
      </w:r>
      <w:r>
        <w:rPr>
          <w:b/>
        </w:rPr>
        <w:t xml:space="preserve">leri arasında </w:t>
      </w:r>
      <w:r>
        <w:rPr>
          <w:b/>
          <w:color w:val="FF0000"/>
        </w:rPr>
        <w:t>5</w:t>
      </w:r>
      <w:r>
        <w:rPr>
          <w:b/>
        </w:rPr>
        <w:t xml:space="preserve"> kez </w:t>
      </w:r>
      <w:r w:rsidRPr="00D52535">
        <w:rPr>
          <w:b/>
        </w:rPr>
        <w:t>toplanmıştır</w:t>
      </w:r>
      <w:r>
        <w:rPr>
          <w:b/>
        </w:rPr>
        <w:t>.</w:t>
      </w:r>
      <w:r w:rsidRPr="00D52535">
        <w:rPr>
          <w:b/>
        </w:rPr>
        <w:t xml:space="preserve"> </w:t>
      </w:r>
    </w:p>
    <w:p w:rsidR="00EB7592" w:rsidRDefault="00EB7592" w:rsidP="00EB7592">
      <w:pPr>
        <w:jc w:val="both"/>
        <w:rPr>
          <w:b/>
        </w:rPr>
      </w:pPr>
    </w:p>
    <w:p w:rsidR="00EB7592" w:rsidRDefault="00EB7592" w:rsidP="00EB7592">
      <w:pPr>
        <w:ind w:firstLine="708"/>
        <w:jc w:val="both"/>
      </w:pPr>
      <w:r>
        <w:t xml:space="preserve">Plan ve Bütçe Komisyonumuza intikal eden bütçe tasarısı 5393 sayılı Belediye Kanunu, 2464 sayılı Belediye Gelirleri Kanunu, Mahalli İdareler Bütçe Muhasebe Yönetmeliği ve diğer ilgili yasalar çerçevesinde titizlikle incelenerek gerekli görüşmeler yapılmış ve aşağıdaki kararlar alınmıştır. </w:t>
      </w:r>
    </w:p>
    <w:p w:rsidR="00EB7592" w:rsidRDefault="00EB7592" w:rsidP="00EB7592">
      <w:pPr>
        <w:jc w:val="both"/>
      </w:pPr>
    </w:p>
    <w:p w:rsidR="00EB7592" w:rsidRDefault="00EB7592" w:rsidP="00EB7592">
      <w:pPr>
        <w:jc w:val="both"/>
        <w:rPr>
          <w:b/>
        </w:rPr>
      </w:pPr>
      <w:r>
        <w:rPr>
          <w:b/>
        </w:rPr>
        <w:tab/>
        <w:t>Bütçenin Bütçe ve Muhasebe yönetmenliğinin ilgili madde hükümleri doğrultusunda yapıldığı;</w:t>
      </w:r>
    </w:p>
    <w:p w:rsidR="00EB7592" w:rsidRDefault="00EB7592" w:rsidP="00EB7592">
      <w:pPr>
        <w:jc w:val="both"/>
        <w:rPr>
          <w:b/>
        </w:rPr>
      </w:pPr>
      <w:r>
        <w:rPr>
          <w:b/>
        </w:rPr>
        <w:t xml:space="preserve"> </w:t>
      </w:r>
    </w:p>
    <w:p w:rsidR="00EB7592" w:rsidRPr="00903727" w:rsidRDefault="00EB7592" w:rsidP="00EB7592">
      <w:pPr>
        <w:pStyle w:val="DzMetin"/>
        <w:rPr>
          <w:rFonts w:ascii="Times New Roman" w:hAnsi="Times New Roman"/>
          <w:b/>
          <w:sz w:val="22"/>
          <w:szCs w:val="22"/>
        </w:rPr>
      </w:pPr>
      <w:r>
        <w:rPr>
          <w:rFonts w:ascii="Times New Roman" w:hAnsi="Times New Roman"/>
          <w:b/>
          <w:sz w:val="22"/>
          <w:szCs w:val="22"/>
        </w:rPr>
        <w:t>A-) 2026</w:t>
      </w:r>
      <w:r w:rsidRPr="00903727">
        <w:rPr>
          <w:rFonts w:ascii="Times New Roman" w:hAnsi="Times New Roman"/>
          <w:b/>
          <w:sz w:val="22"/>
          <w:szCs w:val="22"/>
        </w:rPr>
        <w:t xml:space="preserve"> YILI BÜTÇE KARARNAMESİ</w:t>
      </w:r>
    </w:p>
    <w:p w:rsidR="00EB7592" w:rsidRPr="00903727" w:rsidRDefault="00EB7592" w:rsidP="00EB7592">
      <w:pPr>
        <w:pStyle w:val="DzMetin"/>
        <w:jc w:val="center"/>
        <w:rPr>
          <w:rFonts w:ascii="Times New Roman" w:hAnsi="Times New Roman"/>
          <w:b/>
          <w:sz w:val="22"/>
          <w:szCs w:val="22"/>
        </w:rPr>
      </w:pPr>
    </w:p>
    <w:p w:rsidR="00EB7592" w:rsidRPr="00903727" w:rsidRDefault="00EB7592" w:rsidP="00EB7592">
      <w:pPr>
        <w:pStyle w:val="DzMetin"/>
        <w:rPr>
          <w:rFonts w:ascii="Times New Roman" w:hAnsi="Times New Roman"/>
          <w:b/>
          <w:sz w:val="22"/>
          <w:szCs w:val="22"/>
        </w:rPr>
      </w:pPr>
    </w:p>
    <w:p w:rsidR="00EB7592" w:rsidRPr="00903727" w:rsidRDefault="00EB7592" w:rsidP="00EB7592">
      <w:pPr>
        <w:pStyle w:val="DzMetin"/>
        <w:jc w:val="both"/>
        <w:rPr>
          <w:rFonts w:ascii="Times New Roman" w:hAnsi="Times New Roman"/>
          <w:sz w:val="22"/>
          <w:szCs w:val="22"/>
        </w:rPr>
      </w:pPr>
      <w:r w:rsidRPr="00903727">
        <w:rPr>
          <w:rFonts w:ascii="Times New Roman" w:hAnsi="Times New Roman"/>
          <w:b/>
          <w:sz w:val="22"/>
          <w:szCs w:val="22"/>
        </w:rPr>
        <w:t>Madde  1-</w:t>
      </w:r>
      <w:r>
        <w:rPr>
          <w:rFonts w:ascii="Times New Roman" w:hAnsi="Times New Roman"/>
          <w:sz w:val="22"/>
          <w:szCs w:val="22"/>
        </w:rPr>
        <w:t xml:space="preserve"> Belediye</w:t>
      </w:r>
      <w:r w:rsidRPr="00903727">
        <w:rPr>
          <w:rFonts w:ascii="Times New Roman" w:hAnsi="Times New Roman"/>
          <w:sz w:val="22"/>
          <w:szCs w:val="22"/>
        </w:rPr>
        <w:t xml:space="preserve"> için "(A) Ödenek Cetvelinde"  gösterildiği gibi toplam </w:t>
      </w:r>
      <w:r w:rsidRPr="00903727">
        <w:rPr>
          <w:rFonts w:ascii="Times New Roman" w:hAnsi="Times New Roman"/>
          <w:b/>
          <w:sz w:val="22"/>
          <w:szCs w:val="22"/>
        </w:rPr>
        <w:t>(</w:t>
      </w:r>
      <w:r>
        <w:rPr>
          <w:rFonts w:ascii="Times New Roman" w:hAnsi="Times New Roman"/>
          <w:b/>
          <w:color w:val="FF0000"/>
          <w:sz w:val="22"/>
          <w:szCs w:val="22"/>
        </w:rPr>
        <w:t>3</w:t>
      </w:r>
      <w:r w:rsidRPr="00903727">
        <w:rPr>
          <w:rFonts w:ascii="Times New Roman" w:hAnsi="Times New Roman"/>
          <w:b/>
          <w:color w:val="FF0000"/>
          <w:sz w:val="22"/>
          <w:szCs w:val="22"/>
        </w:rPr>
        <w:t>.</w:t>
      </w:r>
      <w:r>
        <w:rPr>
          <w:rFonts w:ascii="Times New Roman" w:hAnsi="Times New Roman"/>
          <w:b/>
          <w:color w:val="FF0000"/>
          <w:sz w:val="22"/>
          <w:szCs w:val="22"/>
        </w:rPr>
        <w:t>155.000.000</w:t>
      </w:r>
      <w:r w:rsidRPr="00903727">
        <w:rPr>
          <w:rFonts w:ascii="Times New Roman" w:hAnsi="Times New Roman"/>
          <w:b/>
          <w:color w:val="FF0000"/>
          <w:sz w:val="22"/>
          <w:szCs w:val="22"/>
        </w:rPr>
        <w:t>,00</w:t>
      </w:r>
      <w:r w:rsidRPr="00903727">
        <w:rPr>
          <w:rFonts w:ascii="Times New Roman" w:hAnsi="Times New Roman"/>
          <w:b/>
          <w:sz w:val="22"/>
          <w:szCs w:val="22"/>
        </w:rPr>
        <w:t xml:space="preserve"> ) </w:t>
      </w:r>
      <w:r w:rsidRPr="004171F2">
        <w:rPr>
          <w:rFonts w:ascii="Times New Roman" w:hAnsi="Times New Roman"/>
          <w:sz w:val="22"/>
          <w:szCs w:val="22"/>
        </w:rPr>
        <w:t xml:space="preserve">TL </w:t>
      </w:r>
      <w:r w:rsidRPr="00903727">
        <w:rPr>
          <w:rFonts w:ascii="Times New Roman" w:hAnsi="Times New Roman"/>
          <w:sz w:val="22"/>
          <w:szCs w:val="22"/>
        </w:rPr>
        <w:t xml:space="preserve"> ödenek verilmiştir. </w:t>
      </w:r>
    </w:p>
    <w:p w:rsidR="00EB7592" w:rsidRPr="00903727" w:rsidRDefault="00EB7592" w:rsidP="00EB7592">
      <w:pPr>
        <w:pStyle w:val="DzMetin"/>
        <w:jc w:val="both"/>
        <w:rPr>
          <w:rFonts w:ascii="Times New Roman" w:hAnsi="Times New Roman"/>
          <w:sz w:val="22"/>
          <w:szCs w:val="22"/>
        </w:rPr>
      </w:pPr>
      <w:r w:rsidRPr="00903727">
        <w:rPr>
          <w:rFonts w:ascii="Times New Roman" w:hAnsi="Times New Roman"/>
          <w:sz w:val="22"/>
          <w:szCs w:val="22"/>
        </w:rPr>
        <w:t xml:space="preserve">                                         </w:t>
      </w:r>
      <w:r w:rsidRPr="00903727">
        <w:rPr>
          <w:rFonts w:ascii="Times New Roman" w:hAnsi="Times New Roman"/>
          <w:sz w:val="22"/>
          <w:szCs w:val="22"/>
        </w:rPr>
        <w:cr/>
      </w:r>
      <w:r w:rsidRPr="00903727">
        <w:rPr>
          <w:rFonts w:ascii="Times New Roman" w:hAnsi="Times New Roman"/>
          <w:b/>
          <w:sz w:val="22"/>
          <w:szCs w:val="22"/>
        </w:rPr>
        <w:t>Madde 2-</w:t>
      </w:r>
      <w:r w:rsidRPr="00903727">
        <w:rPr>
          <w:rFonts w:ascii="Times New Roman" w:hAnsi="Times New Roman"/>
          <w:sz w:val="22"/>
          <w:szCs w:val="22"/>
        </w:rPr>
        <w:t xml:space="preserve"> Belediye bütçesinin gelirleri "(B) Gelirlerin Ekonomik Sınıflandırması"  cetvelinde gösterildiği gibi toplam </w:t>
      </w:r>
      <w:r w:rsidRPr="00903727">
        <w:rPr>
          <w:rFonts w:ascii="Times New Roman" w:hAnsi="Times New Roman"/>
          <w:b/>
          <w:sz w:val="22"/>
          <w:szCs w:val="22"/>
        </w:rPr>
        <w:t xml:space="preserve">( </w:t>
      </w:r>
      <w:r>
        <w:rPr>
          <w:rFonts w:ascii="Times New Roman" w:hAnsi="Times New Roman"/>
          <w:b/>
          <w:color w:val="FF0000"/>
          <w:sz w:val="22"/>
          <w:szCs w:val="22"/>
        </w:rPr>
        <w:t>3</w:t>
      </w:r>
      <w:r w:rsidRPr="00903727">
        <w:rPr>
          <w:rFonts w:ascii="Times New Roman" w:hAnsi="Times New Roman"/>
          <w:b/>
          <w:color w:val="FF0000"/>
          <w:sz w:val="22"/>
          <w:szCs w:val="22"/>
        </w:rPr>
        <w:t>.</w:t>
      </w:r>
      <w:r>
        <w:rPr>
          <w:rFonts w:ascii="Times New Roman" w:hAnsi="Times New Roman"/>
          <w:b/>
          <w:color w:val="FF0000"/>
          <w:sz w:val="22"/>
          <w:szCs w:val="22"/>
        </w:rPr>
        <w:t>155</w:t>
      </w:r>
      <w:r w:rsidRPr="00903727">
        <w:rPr>
          <w:rFonts w:ascii="Times New Roman" w:hAnsi="Times New Roman"/>
          <w:b/>
          <w:color w:val="FF0000"/>
          <w:sz w:val="22"/>
          <w:szCs w:val="22"/>
        </w:rPr>
        <w:t>.</w:t>
      </w:r>
      <w:r>
        <w:rPr>
          <w:rFonts w:ascii="Times New Roman" w:hAnsi="Times New Roman"/>
          <w:b/>
          <w:color w:val="FF0000"/>
          <w:sz w:val="22"/>
          <w:szCs w:val="22"/>
        </w:rPr>
        <w:t>000.000</w:t>
      </w:r>
      <w:r w:rsidRPr="00903727">
        <w:rPr>
          <w:rFonts w:ascii="Times New Roman" w:hAnsi="Times New Roman"/>
          <w:b/>
          <w:color w:val="FF0000"/>
          <w:sz w:val="22"/>
          <w:szCs w:val="22"/>
        </w:rPr>
        <w:t>,00</w:t>
      </w:r>
      <w:r w:rsidRPr="00903727">
        <w:rPr>
          <w:rFonts w:ascii="Times New Roman" w:hAnsi="Times New Roman"/>
          <w:b/>
          <w:sz w:val="22"/>
          <w:szCs w:val="22"/>
        </w:rPr>
        <w:t xml:space="preserve"> ) </w:t>
      </w:r>
      <w:r w:rsidRPr="00903727">
        <w:rPr>
          <w:rFonts w:ascii="Times New Roman" w:hAnsi="Times New Roman"/>
          <w:sz w:val="22"/>
          <w:szCs w:val="22"/>
        </w:rPr>
        <w:t xml:space="preserve">TL olarak tahmin edilmiştir.  </w:t>
      </w:r>
    </w:p>
    <w:p w:rsidR="00EB7592" w:rsidRPr="00903727" w:rsidRDefault="00EB7592" w:rsidP="00EB7592">
      <w:pPr>
        <w:pStyle w:val="DzMetin"/>
        <w:jc w:val="both"/>
        <w:rPr>
          <w:rFonts w:ascii="Times New Roman" w:hAnsi="Times New Roman"/>
          <w:sz w:val="22"/>
          <w:szCs w:val="22"/>
        </w:rPr>
      </w:pPr>
      <w:r w:rsidRPr="00903727">
        <w:rPr>
          <w:rFonts w:ascii="Times New Roman" w:hAnsi="Times New Roman"/>
          <w:sz w:val="22"/>
          <w:szCs w:val="22"/>
        </w:rPr>
        <w:t xml:space="preserve">          </w:t>
      </w:r>
      <w:r w:rsidRPr="00903727">
        <w:rPr>
          <w:rFonts w:ascii="Times New Roman" w:hAnsi="Times New Roman"/>
          <w:sz w:val="22"/>
          <w:szCs w:val="22"/>
        </w:rPr>
        <w:cr/>
      </w:r>
      <w:r w:rsidRPr="00903727">
        <w:rPr>
          <w:rFonts w:ascii="Times New Roman" w:hAnsi="Times New Roman"/>
          <w:b/>
          <w:sz w:val="22"/>
          <w:szCs w:val="22"/>
        </w:rPr>
        <w:t>Madde 3-</w:t>
      </w:r>
      <w:r>
        <w:rPr>
          <w:rFonts w:ascii="Times New Roman" w:hAnsi="Times New Roman"/>
          <w:sz w:val="22"/>
          <w:szCs w:val="22"/>
        </w:rPr>
        <w:t xml:space="preserve"> 2026</w:t>
      </w:r>
      <w:r w:rsidRPr="00903727">
        <w:rPr>
          <w:rFonts w:ascii="Times New Roman" w:hAnsi="Times New Roman"/>
          <w:sz w:val="22"/>
          <w:szCs w:val="22"/>
        </w:rPr>
        <w:t xml:space="preserve"> Yılı gider bütçesinde yer alan ödeneklere, gelir bütçesinde tahmin edilen gelirler karşılık gösterilmek suretiyle denklik sağlanmıştır.  </w:t>
      </w:r>
    </w:p>
    <w:p w:rsidR="00EB7592" w:rsidRPr="00903727" w:rsidRDefault="00EB7592" w:rsidP="00EB7592">
      <w:pPr>
        <w:pStyle w:val="DzMetin"/>
        <w:jc w:val="both"/>
        <w:rPr>
          <w:rFonts w:ascii="Times New Roman" w:hAnsi="Times New Roman"/>
          <w:sz w:val="22"/>
          <w:szCs w:val="22"/>
        </w:rPr>
      </w:pPr>
      <w:r w:rsidRPr="00903727">
        <w:rPr>
          <w:rFonts w:ascii="Times New Roman" w:hAnsi="Times New Roman"/>
          <w:sz w:val="22"/>
          <w:szCs w:val="22"/>
        </w:rPr>
        <w:t xml:space="preserve">                          </w:t>
      </w:r>
      <w:r w:rsidRPr="00903727">
        <w:rPr>
          <w:rFonts w:ascii="Times New Roman" w:hAnsi="Times New Roman"/>
          <w:sz w:val="22"/>
          <w:szCs w:val="22"/>
        </w:rPr>
        <w:cr/>
      </w:r>
      <w:r w:rsidRPr="00903727">
        <w:rPr>
          <w:rFonts w:ascii="Times New Roman" w:hAnsi="Times New Roman"/>
          <w:b/>
          <w:sz w:val="22"/>
          <w:szCs w:val="22"/>
        </w:rPr>
        <w:t>Madde 4-</w:t>
      </w:r>
      <w:r w:rsidRPr="00903727">
        <w:rPr>
          <w:rFonts w:ascii="Times New Roman" w:hAnsi="Times New Roman"/>
          <w:sz w:val="22"/>
          <w:szCs w:val="22"/>
        </w:rPr>
        <w:t xml:space="preserve"> Gelir çeşitlerinin yasal dayanakları (C) cetvelinde gösterilmiştir. Yasal dayanağı bulunmayan gelir tahsil edilemeyecektir. </w:t>
      </w:r>
    </w:p>
    <w:p w:rsidR="00EB7592" w:rsidRPr="00903727" w:rsidRDefault="00EB7592" w:rsidP="00EB7592">
      <w:pPr>
        <w:pStyle w:val="DzMetin"/>
        <w:jc w:val="both"/>
        <w:rPr>
          <w:rFonts w:ascii="Times New Roman" w:hAnsi="Times New Roman"/>
          <w:sz w:val="22"/>
          <w:szCs w:val="22"/>
        </w:rPr>
      </w:pPr>
      <w:r w:rsidRPr="00903727">
        <w:rPr>
          <w:rFonts w:ascii="Times New Roman" w:hAnsi="Times New Roman"/>
          <w:sz w:val="22"/>
          <w:szCs w:val="22"/>
        </w:rPr>
        <w:t xml:space="preserve">                                                      </w:t>
      </w:r>
      <w:r w:rsidRPr="00903727">
        <w:rPr>
          <w:rFonts w:ascii="Times New Roman" w:hAnsi="Times New Roman"/>
          <w:sz w:val="22"/>
          <w:szCs w:val="22"/>
        </w:rPr>
        <w:cr/>
      </w:r>
      <w:r w:rsidRPr="00903727">
        <w:rPr>
          <w:rFonts w:ascii="Times New Roman" w:hAnsi="Times New Roman"/>
          <w:b/>
          <w:sz w:val="22"/>
          <w:szCs w:val="22"/>
        </w:rPr>
        <w:t xml:space="preserve">Madde 5- </w:t>
      </w:r>
      <w:r w:rsidRPr="00903727">
        <w:rPr>
          <w:rFonts w:ascii="Times New Roman" w:hAnsi="Times New Roman"/>
          <w:sz w:val="22"/>
          <w:szCs w:val="22"/>
        </w:rPr>
        <w:t>6245 sayılı Harcırah Kanununun 8'inci maddesi gereğince memur ve hizmetli olmayanların yurt içi ve yurt dışı gezi ve görevlerinde verilecek günl</w:t>
      </w:r>
      <w:r>
        <w:rPr>
          <w:rFonts w:ascii="Times New Roman" w:hAnsi="Times New Roman"/>
          <w:sz w:val="22"/>
          <w:szCs w:val="22"/>
        </w:rPr>
        <w:t xml:space="preserve">ük ve yol giderleri </w:t>
      </w:r>
      <w:r w:rsidRPr="00903727">
        <w:rPr>
          <w:rFonts w:ascii="Times New Roman" w:hAnsi="Times New Roman"/>
          <w:sz w:val="22"/>
          <w:szCs w:val="22"/>
        </w:rPr>
        <w:t xml:space="preserve">yıl içerisinde Devletin belirleyeceği rayiç değerler üzerinden ödenecektir.     </w:t>
      </w:r>
    </w:p>
    <w:p w:rsidR="00EB7592" w:rsidRPr="00903727" w:rsidRDefault="00EB7592" w:rsidP="00EB7592">
      <w:pPr>
        <w:pStyle w:val="DzMetin"/>
        <w:jc w:val="both"/>
        <w:rPr>
          <w:rFonts w:ascii="Times New Roman" w:hAnsi="Times New Roman"/>
          <w:sz w:val="22"/>
          <w:szCs w:val="22"/>
        </w:rPr>
      </w:pPr>
      <w:r w:rsidRPr="00903727">
        <w:rPr>
          <w:rFonts w:ascii="Times New Roman" w:hAnsi="Times New Roman"/>
          <w:sz w:val="22"/>
          <w:szCs w:val="22"/>
        </w:rPr>
        <w:t xml:space="preserve">                                                      </w:t>
      </w:r>
      <w:r w:rsidRPr="00903727">
        <w:rPr>
          <w:rFonts w:ascii="Times New Roman" w:hAnsi="Times New Roman"/>
          <w:sz w:val="22"/>
          <w:szCs w:val="22"/>
        </w:rPr>
        <w:cr/>
      </w:r>
      <w:r w:rsidRPr="00903727">
        <w:rPr>
          <w:rFonts w:ascii="Times New Roman" w:hAnsi="Times New Roman"/>
          <w:b/>
          <w:sz w:val="22"/>
          <w:szCs w:val="22"/>
        </w:rPr>
        <w:t>Madde 6-</w:t>
      </w:r>
      <w:r w:rsidRPr="00903727">
        <w:rPr>
          <w:rFonts w:ascii="Times New Roman" w:hAnsi="Times New Roman"/>
          <w:sz w:val="22"/>
          <w:szCs w:val="22"/>
        </w:rPr>
        <w:t xml:space="preserve"> Bütçe </w:t>
      </w:r>
      <w:r>
        <w:rPr>
          <w:rFonts w:ascii="Times New Roman" w:hAnsi="Times New Roman"/>
          <w:sz w:val="22"/>
          <w:szCs w:val="22"/>
        </w:rPr>
        <w:t>yönetmelikte</w:t>
      </w:r>
      <w:r w:rsidRPr="00903727">
        <w:rPr>
          <w:rFonts w:ascii="Times New Roman" w:hAnsi="Times New Roman"/>
          <w:sz w:val="22"/>
          <w:szCs w:val="22"/>
        </w:rPr>
        <w:t xml:space="preserve"> belirtilen cetvellerden</w:t>
      </w:r>
      <w:r>
        <w:rPr>
          <w:rFonts w:ascii="Times New Roman" w:hAnsi="Times New Roman"/>
          <w:sz w:val="22"/>
          <w:szCs w:val="22"/>
        </w:rPr>
        <w:t xml:space="preserve"> oluşmaktadır.</w:t>
      </w:r>
    </w:p>
    <w:p w:rsidR="00EB7592" w:rsidRPr="00903727" w:rsidRDefault="00EB7592" w:rsidP="00EB7592">
      <w:pPr>
        <w:pStyle w:val="DzMetin"/>
        <w:numPr>
          <w:ilvl w:val="0"/>
          <w:numId w:val="37"/>
        </w:numPr>
        <w:jc w:val="both"/>
        <w:rPr>
          <w:rFonts w:ascii="Times New Roman" w:hAnsi="Times New Roman"/>
          <w:sz w:val="22"/>
          <w:szCs w:val="22"/>
        </w:rPr>
      </w:pPr>
      <w:r w:rsidRPr="00903727">
        <w:rPr>
          <w:rFonts w:ascii="Times New Roman" w:hAnsi="Times New Roman"/>
          <w:sz w:val="22"/>
          <w:szCs w:val="22"/>
        </w:rPr>
        <w:t xml:space="preserve">Bütçe kararnamesi, </w:t>
      </w:r>
      <w:r>
        <w:rPr>
          <w:rFonts w:ascii="Times New Roman" w:hAnsi="Times New Roman"/>
          <w:sz w:val="22"/>
          <w:szCs w:val="22"/>
        </w:rPr>
        <w:t xml:space="preserve"> </w:t>
      </w:r>
    </w:p>
    <w:p w:rsidR="00EB7592" w:rsidRPr="00903727" w:rsidRDefault="00EB7592" w:rsidP="00EB7592">
      <w:pPr>
        <w:pStyle w:val="DzMetin"/>
        <w:numPr>
          <w:ilvl w:val="0"/>
          <w:numId w:val="37"/>
        </w:numPr>
        <w:jc w:val="both"/>
        <w:rPr>
          <w:rFonts w:ascii="Times New Roman" w:hAnsi="Times New Roman"/>
          <w:sz w:val="22"/>
          <w:szCs w:val="22"/>
        </w:rPr>
      </w:pPr>
      <w:r w:rsidRPr="00903727">
        <w:rPr>
          <w:rFonts w:ascii="Times New Roman" w:hAnsi="Times New Roman"/>
          <w:sz w:val="22"/>
          <w:szCs w:val="22"/>
        </w:rPr>
        <w:t xml:space="preserve">Fonksiyonel ve Ekonomik Sınıflandırma Düzeyinde Yılı Bütçesi </w:t>
      </w:r>
      <w:r>
        <w:rPr>
          <w:rFonts w:ascii="Times New Roman" w:hAnsi="Times New Roman"/>
          <w:sz w:val="22"/>
          <w:szCs w:val="22"/>
        </w:rPr>
        <w:t xml:space="preserve"> </w:t>
      </w:r>
    </w:p>
    <w:p w:rsidR="00EB7592" w:rsidRPr="00903727" w:rsidRDefault="00EB7592" w:rsidP="00EB7592">
      <w:pPr>
        <w:pStyle w:val="DzMetin"/>
        <w:numPr>
          <w:ilvl w:val="0"/>
          <w:numId w:val="37"/>
        </w:numPr>
        <w:jc w:val="both"/>
        <w:rPr>
          <w:rFonts w:ascii="Times New Roman" w:hAnsi="Times New Roman"/>
          <w:sz w:val="22"/>
          <w:szCs w:val="22"/>
        </w:rPr>
      </w:pPr>
      <w:r w:rsidRPr="00903727">
        <w:rPr>
          <w:rFonts w:ascii="Times New Roman" w:hAnsi="Times New Roman"/>
          <w:sz w:val="22"/>
          <w:szCs w:val="22"/>
        </w:rPr>
        <w:t xml:space="preserve">Fonksiyonel ve Ekonomik Sınıflandırma Düzeyinde İzleyen Yılı Bütçesi </w:t>
      </w:r>
      <w:r>
        <w:rPr>
          <w:rFonts w:ascii="Times New Roman" w:hAnsi="Times New Roman"/>
          <w:sz w:val="22"/>
          <w:szCs w:val="22"/>
        </w:rPr>
        <w:t xml:space="preserve"> </w:t>
      </w:r>
    </w:p>
    <w:p w:rsidR="00EB7592" w:rsidRPr="00903727" w:rsidRDefault="00EB7592" w:rsidP="00EB7592">
      <w:pPr>
        <w:pStyle w:val="DzMetin"/>
        <w:numPr>
          <w:ilvl w:val="0"/>
          <w:numId w:val="37"/>
        </w:numPr>
        <w:jc w:val="both"/>
        <w:rPr>
          <w:rFonts w:ascii="Times New Roman" w:hAnsi="Times New Roman"/>
          <w:sz w:val="22"/>
          <w:szCs w:val="22"/>
        </w:rPr>
      </w:pPr>
      <w:r w:rsidRPr="00903727">
        <w:rPr>
          <w:rFonts w:ascii="Times New Roman" w:hAnsi="Times New Roman"/>
          <w:sz w:val="22"/>
          <w:szCs w:val="22"/>
        </w:rPr>
        <w:t xml:space="preserve">Çok Yıllı Gider Bütçesi </w:t>
      </w:r>
      <w:r>
        <w:rPr>
          <w:rFonts w:ascii="Times New Roman" w:hAnsi="Times New Roman"/>
          <w:sz w:val="22"/>
          <w:szCs w:val="22"/>
        </w:rPr>
        <w:t xml:space="preserve"> </w:t>
      </w:r>
    </w:p>
    <w:p w:rsidR="00EB7592" w:rsidRPr="00903727" w:rsidRDefault="00EB7592" w:rsidP="00EB7592">
      <w:pPr>
        <w:pStyle w:val="DzMetin"/>
        <w:numPr>
          <w:ilvl w:val="0"/>
          <w:numId w:val="37"/>
        </w:numPr>
        <w:jc w:val="both"/>
        <w:rPr>
          <w:rFonts w:ascii="Times New Roman" w:hAnsi="Times New Roman"/>
          <w:sz w:val="22"/>
          <w:szCs w:val="22"/>
        </w:rPr>
      </w:pPr>
      <w:r w:rsidRPr="00903727">
        <w:rPr>
          <w:rFonts w:ascii="Times New Roman" w:hAnsi="Times New Roman"/>
          <w:sz w:val="22"/>
          <w:szCs w:val="22"/>
        </w:rPr>
        <w:t xml:space="preserve">Çok Yıllı Gelir Bütçesi </w:t>
      </w:r>
      <w:r>
        <w:rPr>
          <w:rFonts w:ascii="Times New Roman" w:hAnsi="Times New Roman"/>
          <w:sz w:val="22"/>
          <w:szCs w:val="22"/>
        </w:rPr>
        <w:t xml:space="preserve"> </w:t>
      </w:r>
    </w:p>
    <w:p w:rsidR="00EB7592" w:rsidRPr="00903727" w:rsidRDefault="00EB7592" w:rsidP="00EB7592">
      <w:pPr>
        <w:pStyle w:val="DzMetin"/>
        <w:numPr>
          <w:ilvl w:val="0"/>
          <w:numId w:val="37"/>
        </w:numPr>
        <w:jc w:val="both"/>
        <w:rPr>
          <w:rFonts w:ascii="Times New Roman" w:hAnsi="Times New Roman"/>
          <w:sz w:val="22"/>
          <w:szCs w:val="22"/>
        </w:rPr>
      </w:pPr>
      <w:r w:rsidRPr="00903727">
        <w:rPr>
          <w:rFonts w:ascii="Times New Roman" w:hAnsi="Times New Roman"/>
          <w:sz w:val="22"/>
          <w:szCs w:val="22"/>
        </w:rPr>
        <w:t xml:space="preserve">Ödenek Cetveli (A) </w:t>
      </w:r>
      <w:r>
        <w:rPr>
          <w:rFonts w:ascii="Times New Roman" w:hAnsi="Times New Roman"/>
          <w:sz w:val="22"/>
          <w:szCs w:val="22"/>
        </w:rPr>
        <w:t xml:space="preserve"> </w:t>
      </w:r>
    </w:p>
    <w:p w:rsidR="00EB7592" w:rsidRPr="00903727" w:rsidRDefault="00EB7592" w:rsidP="00EB7592">
      <w:pPr>
        <w:pStyle w:val="DzMetin"/>
        <w:numPr>
          <w:ilvl w:val="0"/>
          <w:numId w:val="37"/>
        </w:numPr>
        <w:jc w:val="both"/>
        <w:rPr>
          <w:rFonts w:ascii="Times New Roman" w:hAnsi="Times New Roman"/>
          <w:sz w:val="22"/>
          <w:szCs w:val="22"/>
        </w:rPr>
      </w:pPr>
      <w:r w:rsidRPr="00903727">
        <w:rPr>
          <w:rFonts w:ascii="Times New Roman" w:hAnsi="Times New Roman"/>
          <w:sz w:val="22"/>
          <w:szCs w:val="22"/>
        </w:rPr>
        <w:t>Gelirlerin Ekonomik Sınıflandırması Cetveli  (B</w:t>
      </w:r>
      <w:r>
        <w:rPr>
          <w:rFonts w:ascii="Times New Roman" w:hAnsi="Times New Roman"/>
          <w:sz w:val="22"/>
          <w:szCs w:val="22"/>
        </w:rPr>
        <w:t>)</w:t>
      </w:r>
    </w:p>
    <w:p w:rsidR="00EB7592" w:rsidRPr="00903727" w:rsidRDefault="00EB7592" w:rsidP="00EB7592">
      <w:pPr>
        <w:pStyle w:val="DzMetin"/>
        <w:numPr>
          <w:ilvl w:val="0"/>
          <w:numId w:val="37"/>
        </w:numPr>
        <w:jc w:val="both"/>
        <w:rPr>
          <w:rFonts w:ascii="Times New Roman" w:hAnsi="Times New Roman"/>
          <w:sz w:val="22"/>
          <w:szCs w:val="22"/>
        </w:rPr>
      </w:pPr>
      <w:r w:rsidRPr="00903727">
        <w:rPr>
          <w:rFonts w:ascii="Times New Roman" w:hAnsi="Times New Roman"/>
          <w:sz w:val="22"/>
          <w:szCs w:val="22"/>
        </w:rPr>
        <w:t xml:space="preserve">Gelirlerin Yasal Dayanağını Gösterir (C) Cetveli </w:t>
      </w:r>
    </w:p>
    <w:p w:rsidR="00EB7592" w:rsidRPr="00903727" w:rsidRDefault="00EB7592" w:rsidP="00EB7592">
      <w:pPr>
        <w:numPr>
          <w:ilvl w:val="0"/>
          <w:numId w:val="37"/>
        </w:numPr>
        <w:jc w:val="both"/>
        <w:rPr>
          <w:sz w:val="22"/>
          <w:szCs w:val="22"/>
        </w:rPr>
      </w:pPr>
      <w:r w:rsidRPr="00903727">
        <w:rPr>
          <w:sz w:val="22"/>
          <w:szCs w:val="22"/>
        </w:rPr>
        <w:t>Memur Olmayanlara Verilecek Yollukları Gösterir (H) Cetveli</w:t>
      </w:r>
    </w:p>
    <w:p w:rsidR="00EB7592" w:rsidRPr="00903727" w:rsidRDefault="00EB7592" w:rsidP="00EB7592">
      <w:pPr>
        <w:pStyle w:val="DzMetin"/>
        <w:numPr>
          <w:ilvl w:val="0"/>
          <w:numId w:val="37"/>
        </w:numPr>
        <w:jc w:val="both"/>
        <w:rPr>
          <w:rFonts w:ascii="Times New Roman" w:hAnsi="Times New Roman"/>
          <w:sz w:val="22"/>
          <w:szCs w:val="22"/>
        </w:rPr>
      </w:pPr>
      <w:r w:rsidRPr="00903727">
        <w:rPr>
          <w:rFonts w:ascii="Times New Roman" w:hAnsi="Times New Roman"/>
          <w:sz w:val="22"/>
          <w:szCs w:val="22"/>
        </w:rPr>
        <w:t xml:space="preserve">İhdas Edilen Memur Kadrolarını Gösterir (K-1) Cetveli </w:t>
      </w:r>
    </w:p>
    <w:p w:rsidR="00EB7592" w:rsidRPr="00861D7F" w:rsidRDefault="00EB7592" w:rsidP="00EB7592">
      <w:pPr>
        <w:pStyle w:val="DzMetin"/>
        <w:numPr>
          <w:ilvl w:val="0"/>
          <w:numId w:val="37"/>
        </w:numPr>
        <w:jc w:val="both"/>
        <w:rPr>
          <w:rFonts w:ascii="Times New Roman" w:hAnsi="Times New Roman"/>
          <w:sz w:val="22"/>
          <w:szCs w:val="22"/>
        </w:rPr>
      </w:pPr>
      <w:r w:rsidRPr="00861D7F">
        <w:rPr>
          <w:rFonts w:ascii="Times New Roman" w:hAnsi="Times New Roman"/>
          <w:sz w:val="22"/>
          <w:szCs w:val="22"/>
        </w:rPr>
        <w:t xml:space="preserve">İhdas Edilen Sürekli İşçi Kadrolarını Gösterir (K-2) Cetveli </w:t>
      </w:r>
    </w:p>
    <w:p w:rsidR="00EB7592" w:rsidRPr="00903727" w:rsidRDefault="00EB7592" w:rsidP="00EB7592">
      <w:pPr>
        <w:pStyle w:val="DzMetin"/>
        <w:numPr>
          <w:ilvl w:val="0"/>
          <w:numId w:val="37"/>
        </w:numPr>
        <w:jc w:val="both"/>
        <w:rPr>
          <w:rFonts w:ascii="Times New Roman" w:hAnsi="Times New Roman"/>
          <w:sz w:val="22"/>
          <w:szCs w:val="22"/>
        </w:rPr>
      </w:pPr>
      <w:r w:rsidRPr="00903727">
        <w:rPr>
          <w:rFonts w:ascii="Times New Roman" w:hAnsi="Times New Roman"/>
          <w:sz w:val="22"/>
          <w:szCs w:val="22"/>
        </w:rPr>
        <w:t xml:space="preserve"> 237 sayılı Taşıt Kanununa Göre Satın Alınacak Taşıtları Gösterir (T) Cetveli</w:t>
      </w:r>
    </w:p>
    <w:p w:rsidR="00EB7592" w:rsidRDefault="00EB7592" w:rsidP="00EB7592">
      <w:pPr>
        <w:pStyle w:val="DzMetin"/>
        <w:numPr>
          <w:ilvl w:val="0"/>
          <w:numId w:val="37"/>
        </w:numPr>
        <w:jc w:val="both"/>
        <w:rPr>
          <w:rFonts w:ascii="Times New Roman" w:hAnsi="Times New Roman" w:cs="Times New Roman"/>
          <w:sz w:val="22"/>
          <w:szCs w:val="22"/>
        </w:rPr>
      </w:pPr>
      <w:r w:rsidRPr="00903727">
        <w:rPr>
          <w:rFonts w:ascii="Times New Roman" w:hAnsi="Times New Roman" w:cs="Times New Roman"/>
          <w:sz w:val="22"/>
          <w:szCs w:val="22"/>
        </w:rPr>
        <w:t xml:space="preserve">Mevcut Taşıtları Gösterir (T-2) Cetveli </w:t>
      </w:r>
    </w:p>
    <w:p w:rsidR="00EB7592" w:rsidRPr="00EB6B77" w:rsidRDefault="00EB7592" w:rsidP="00EB7592">
      <w:pPr>
        <w:pStyle w:val="DzMetin"/>
        <w:numPr>
          <w:ilvl w:val="0"/>
          <w:numId w:val="37"/>
        </w:numPr>
        <w:jc w:val="both"/>
        <w:rPr>
          <w:rFonts w:ascii="Times New Roman" w:hAnsi="Times New Roman" w:cs="Times New Roman"/>
          <w:sz w:val="22"/>
          <w:szCs w:val="22"/>
        </w:rPr>
      </w:pPr>
      <w:r w:rsidRPr="00EB6B77">
        <w:rPr>
          <w:rFonts w:ascii="Times New Roman" w:hAnsi="Times New Roman" w:cs="Times New Roman"/>
          <w:sz w:val="22"/>
          <w:szCs w:val="22"/>
        </w:rPr>
        <w:t>Ayrıntılı Harcama Programı (Örnek-27)</w:t>
      </w:r>
    </w:p>
    <w:p w:rsidR="00EB7592" w:rsidRPr="00903727" w:rsidRDefault="00EB7592" w:rsidP="00EB7592">
      <w:pPr>
        <w:pStyle w:val="DzMetin"/>
        <w:numPr>
          <w:ilvl w:val="0"/>
          <w:numId w:val="37"/>
        </w:numPr>
        <w:jc w:val="both"/>
        <w:rPr>
          <w:rFonts w:ascii="Times New Roman" w:hAnsi="Times New Roman" w:cs="Times New Roman"/>
          <w:sz w:val="22"/>
          <w:szCs w:val="22"/>
        </w:rPr>
      </w:pPr>
      <w:r w:rsidRPr="00EB6B77">
        <w:rPr>
          <w:rFonts w:ascii="Times New Roman" w:hAnsi="Times New Roman" w:cs="Times New Roman"/>
          <w:sz w:val="22"/>
          <w:szCs w:val="22"/>
        </w:rPr>
        <w:t>Finansman Programı (Örnek-28)</w:t>
      </w:r>
    </w:p>
    <w:p w:rsidR="00EB7592" w:rsidRDefault="00EB7592" w:rsidP="00EB7592">
      <w:pPr>
        <w:pStyle w:val="DzMetin"/>
        <w:jc w:val="both"/>
        <w:rPr>
          <w:rFonts w:ascii="Times New Roman" w:hAnsi="Times New Roman"/>
          <w:b/>
          <w:sz w:val="22"/>
          <w:szCs w:val="22"/>
        </w:rPr>
      </w:pPr>
    </w:p>
    <w:p w:rsidR="00EB7592" w:rsidRDefault="00EB7592" w:rsidP="00EB7592">
      <w:pPr>
        <w:pStyle w:val="DzMetin"/>
        <w:jc w:val="both"/>
        <w:rPr>
          <w:rFonts w:ascii="Times New Roman" w:hAnsi="Times New Roman"/>
          <w:b/>
          <w:sz w:val="22"/>
          <w:szCs w:val="22"/>
        </w:rPr>
      </w:pPr>
      <w:r>
        <w:rPr>
          <w:rFonts w:ascii="Times New Roman" w:hAnsi="Times New Roman"/>
          <w:b/>
          <w:sz w:val="22"/>
          <w:szCs w:val="22"/>
        </w:rPr>
        <w:t>B-) 2026 Mali Y</w:t>
      </w:r>
      <w:r w:rsidRPr="00AF6298">
        <w:rPr>
          <w:rFonts w:ascii="Times New Roman" w:hAnsi="Times New Roman"/>
          <w:b/>
          <w:sz w:val="22"/>
          <w:szCs w:val="22"/>
        </w:rPr>
        <w:t xml:space="preserve">ılı </w:t>
      </w:r>
      <w:r>
        <w:rPr>
          <w:rFonts w:ascii="Times New Roman" w:hAnsi="Times New Roman"/>
          <w:b/>
          <w:sz w:val="22"/>
          <w:szCs w:val="22"/>
        </w:rPr>
        <w:t xml:space="preserve">Gider Bütçesi Ekonomik ve </w:t>
      </w:r>
      <w:r w:rsidRPr="00AF6298">
        <w:rPr>
          <w:rFonts w:ascii="Times New Roman" w:hAnsi="Times New Roman"/>
          <w:b/>
          <w:sz w:val="22"/>
          <w:szCs w:val="22"/>
        </w:rPr>
        <w:t>Kurumsal Sınıflandırılması;</w:t>
      </w:r>
    </w:p>
    <w:p w:rsidR="00EB7592" w:rsidRDefault="00EB7592" w:rsidP="00EB7592">
      <w:pPr>
        <w:pStyle w:val="DzMetin"/>
        <w:jc w:val="both"/>
        <w:rPr>
          <w:rFonts w:ascii="Times New Roman" w:hAnsi="Times New Roman"/>
          <w:b/>
          <w:sz w:val="22"/>
          <w:szCs w:val="22"/>
        </w:rPr>
      </w:pPr>
    </w:p>
    <w:p w:rsidR="00EB7592" w:rsidRDefault="00EB7592" w:rsidP="00EB7592">
      <w:pPr>
        <w:pStyle w:val="DzMetin"/>
        <w:jc w:val="both"/>
        <w:rPr>
          <w:rFonts w:ascii="Times New Roman" w:hAnsi="Times New Roman"/>
          <w:b/>
          <w:sz w:val="22"/>
          <w:szCs w:val="22"/>
        </w:rPr>
      </w:pPr>
    </w:p>
    <w:tbl>
      <w:tblPr>
        <w:tblW w:w="8710" w:type="dxa"/>
        <w:tblInd w:w="55" w:type="dxa"/>
        <w:tblCellMar>
          <w:left w:w="70" w:type="dxa"/>
          <w:right w:w="70" w:type="dxa"/>
        </w:tblCellMar>
        <w:tblLook w:val="04A0"/>
      </w:tblPr>
      <w:tblGrid>
        <w:gridCol w:w="1307"/>
        <w:gridCol w:w="3420"/>
        <w:gridCol w:w="2160"/>
        <w:gridCol w:w="2000"/>
      </w:tblGrid>
      <w:tr w:rsidR="00EB7592" w:rsidRPr="00DF2BF5" w:rsidTr="004D2C0F">
        <w:trPr>
          <w:trHeight w:val="363"/>
        </w:trPr>
        <w:tc>
          <w:tcPr>
            <w:tcW w:w="1130" w:type="dxa"/>
            <w:tcBorders>
              <w:top w:val="single" w:sz="4" w:space="0" w:color="auto"/>
              <w:left w:val="single" w:sz="4" w:space="0" w:color="auto"/>
              <w:bottom w:val="single" w:sz="4" w:space="0" w:color="auto"/>
              <w:right w:val="nil"/>
            </w:tcBorders>
            <w:shd w:val="clear" w:color="969696" w:fill="808080"/>
            <w:vAlign w:val="center"/>
            <w:hideMark/>
          </w:tcPr>
          <w:p w:rsidR="00EB7592" w:rsidRPr="00DF2BF5" w:rsidRDefault="00EB7592" w:rsidP="004D2C0F">
            <w:pPr>
              <w:jc w:val="center"/>
              <w:rPr>
                <w:b/>
                <w:bCs/>
                <w:color w:val="FFFFFF"/>
                <w:sz w:val="20"/>
                <w:szCs w:val="20"/>
              </w:rPr>
            </w:pPr>
            <w:r w:rsidRPr="00DF2BF5">
              <w:rPr>
                <w:b/>
                <w:bCs/>
                <w:color w:val="FFFFFF"/>
                <w:sz w:val="20"/>
                <w:szCs w:val="20"/>
              </w:rPr>
              <w:t>EKONOMİK KOD</w:t>
            </w:r>
          </w:p>
        </w:tc>
        <w:tc>
          <w:tcPr>
            <w:tcW w:w="3420" w:type="dxa"/>
            <w:tcBorders>
              <w:top w:val="single" w:sz="4" w:space="0" w:color="auto"/>
              <w:left w:val="single" w:sz="4" w:space="0" w:color="auto"/>
              <w:bottom w:val="single" w:sz="4" w:space="0" w:color="auto"/>
              <w:right w:val="single" w:sz="4" w:space="0" w:color="auto"/>
            </w:tcBorders>
            <w:shd w:val="clear" w:color="969696" w:fill="808080"/>
            <w:vAlign w:val="center"/>
            <w:hideMark/>
          </w:tcPr>
          <w:p w:rsidR="00EB7592" w:rsidRPr="00DF2BF5" w:rsidRDefault="00EB7592" w:rsidP="004D2C0F">
            <w:pPr>
              <w:jc w:val="center"/>
              <w:rPr>
                <w:b/>
                <w:bCs/>
                <w:color w:val="FFFFFF"/>
                <w:sz w:val="20"/>
                <w:szCs w:val="20"/>
              </w:rPr>
            </w:pPr>
            <w:r w:rsidRPr="00DF2BF5">
              <w:rPr>
                <w:b/>
                <w:bCs/>
                <w:color w:val="FFFFFF"/>
                <w:sz w:val="20"/>
                <w:szCs w:val="20"/>
              </w:rPr>
              <w:t>A Ç I K L A M A</w:t>
            </w:r>
          </w:p>
        </w:tc>
        <w:tc>
          <w:tcPr>
            <w:tcW w:w="2160" w:type="dxa"/>
            <w:tcBorders>
              <w:top w:val="single" w:sz="4" w:space="0" w:color="auto"/>
              <w:left w:val="nil"/>
              <w:bottom w:val="single" w:sz="4" w:space="0" w:color="auto"/>
              <w:right w:val="single" w:sz="4" w:space="0" w:color="auto"/>
            </w:tcBorders>
            <w:shd w:val="clear" w:color="969696" w:fill="808080"/>
            <w:vAlign w:val="center"/>
            <w:hideMark/>
          </w:tcPr>
          <w:p w:rsidR="00EB7592" w:rsidRPr="00DF2BF5" w:rsidRDefault="00EB7592" w:rsidP="004D2C0F">
            <w:pPr>
              <w:jc w:val="center"/>
              <w:rPr>
                <w:b/>
                <w:bCs/>
                <w:color w:val="FFFFFF"/>
                <w:sz w:val="20"/>
                <w:szCs w:val="20"/>
              </w:rPr>
            </w:pPr>
            <w:r w:rsidRPr="00DF2BF5">
              <w:rPr>
                <w:b/>
                <w:bCs/>
                <w:color w:val="FFFFFF"/>
                <w:sz w:val="20"/>
                <w:szCs w:val="20"/>
              </w:rPr>
              <w:t>2026</w:t>
            </w:r>
          </w:p>
        </w:tc>
        <w:tc>
          <w:tcPr>
            <w:tcW w:w="2000" w:type="dxa"/>
            <w:tcBorders>
              <w:top w:val="single" w:sz="4" w:space="0" w:color="auto"/>
              <w:left w:val="nil"/>
              <w:bottom w:val="single" w:sz="4" w:space="0" w:color="auto"/>
              <w:right w:val="single" w:sz="4" w:space="0" w:color="auto"/>
            </w:tcBorders>
            <w:shd w:val="clear" w:color="969696" w:fill="808080"/>
            <w:vAlign w:val="center"/>
            <w:hideMark/>
          </w:tcPr>
          <w:p w:rsidR="00EB7592" w:rsidRPr="00DF2BF5" w:rsidRDefault="00EB7592" w:rsidP="004D2C0F">
            <w:pPr>
              <w:jc w:val="center"/>
              <w:rPr>
                <w:b/>
                <w:bCs/>
                <w:color w:val="FFFFFF"/>
                <w:sz w:val="20"/>
                <w:szCs w:val="20"/>
              </w:rPr>
            </w:pPr>
            <w:r w:rsidRPr="00DF2BF5">
              <w:rPr>
                <w:b/>
                <w:bCs/>
                <w:color w:val="FFFFFF"/>
                <w:sz w:val="20"/>
                <w:szCs w:val="20"/>
              </w:rPr>
              <w:t>BÜTÇE İÇİNDEKİ PAYI</w:t>
            </w:r>
          </w:p>
        </w:tc>
      </w:tr>
      <w:tr w:rsidR="00EB7592" w:rsidRPr="00DF2BF5" w:rsidTr="004D2C0F">
        <w:trPr>
          <w:trHeight w:val="186"/>
        </w:trPr>
        <w:tc>
          <w:tcPr>
            <w:tcW w:w="1130" w:type="dxa"/>
            <w:tcBorders>
              <w:top w:val="nil"/>
              <w:left w:val="single" w:sz="4" w:space="0" w:color="auto"/>
              <w:bottom w:val="single" w:sz="4" w:space="0" w:color="auto"/>
              <w:right w:val="single" w:sz="4" w:space="0" w:color="auto"/>
            </w:tcBorders>
            <w:shd w:val="clear" w:color="969696" w:fill="808080"/>
            <w:noWrap/>
            <w:vAlign w:val="center"/>
            <w:hideMark/>
          </w:tcPr>
          <w:p w:rsidR="00EB7592" w:rsidRPr="00DF2BF5" w:rsidRDefault="00EB7592" w:rsidP="004D2C0F">
            <w:pPr>
              <w:jc w:val="center"/>
              <w:rPr>
                <w:b/>
                <w:bCs/>
                <w:color w:val="FFFFFF"/>
                <w:sz w:val="20"/>
                <w:szCs w:val="20"/>
              </w:rPr>
            </w:pPr>
            <w:r w:rsidRPr="00DF2BF5">
              <w:rPr>
                <w:b/>
                <w:bCs/>
                <w:color w:val="FFFFFF"/>
                <w:sz w:val="20"/>
                <w:szCs w:val="20"/>
              </w:rPr>
              <w:t>1</w:t>
            </w:r>
          </w:p>
        </w:tc>
        <w:tc>
          <w:tcPr>
            <w:tcW w:w="3420" w:type="dxa"/>
            <w:tcBorders>
              <w:top w:val="nil"/>
              <w:left w:val="nil"/>
              <w:bottom w:val="single" w:sz="4" w:space="0" w:color="auto"/>
              <w:right w:val="single" w:sz="4" w:space="0" w:color="auto"/>
            </w:tcBorders>
            <w:shd w:val="clear" w:color="auto" w:fill="auto"/>
            <w:vAlign w:val="center"/>
            <w:hideMark/>
          </w:tcPr>
          <w:p w:rsidR="00EB7592" w:rsidRPr="00DF2BF5" w:rsidRDefault="00EB7592" w:rsidP="004D2C0F">
            <w:pPr>
              <w:rPr>
                <w:sz w:val="20"/>
                <w:szCs w:val="20"/>
              </w:rPr>
            </w:pPr>
            <w:r w:rsidRPr="00DF2BF5">
              <w:rPr>
                <w:sz w:val="20"/>
                <w:szCs w:val="20"/>
              </w:rPr>
              <w:t>PERSONEL GİDERLERİ</w:t>
            </w:r>
          </w:p>
        </w:tc>
        <w:tc>
          <w:tcPr>
            <w:tcW w:w="216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color w:val="000000"/>
                <w:sz w:val="20"/>
                <w:szCs w:val="20"/>
              </w:rPr>
            </w:pPr>
            <w:r w:rsidRPr="00DF2BF5">
              <w:rPr>
                <w:color w:val="000000"/>
                <w:sz w:val="20"/>
                <w:szCs w:val="20"/>
              </w:rPr>
              <w:t>511.447.927,05</w:t>
            </w:r>
          </w:p>
        </w:tc>
        <w:tc>
          <w:tcPr>
            <w:tcW w:w="200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FF"/>
                <w:sz w:val="20"/>
                <w:szCs w:val="20"/>
              </w:rPr>
            </w:pPr>
            <w:r w:rsidRPr="00DF2BF5">
              <w:rPr>
                <w:b/>
                <w:bCs/>
                <w:color w:val="0000FF"/>
                <w:sz w:val="20"/>
                <w:szCs w:val="20"/>
              </w:rPr>
              <w:t>16,21%</w:t>
            </w:r>
          </w:p>
        </w:tc>
      </w:tr>
      <w:tr w:rsidR="00EB7592" w:rsidRPr="00DF2BF5" w:rsidTr="004D2C0F">
        <w:trPr>
          <w:trHeight w:val="231"/>
        </w:trPr>
        <w:tc>
          <w:tcPr>
            <w:tcW w:w="1130" w:type="dxa"/>
            <w:tcBorders>
              <w:top w:val="nil"/>
              <w:left w:val="single" w:sz="4" w:space="0" w:color="auto"/>
              <w:bottom w:val="single" w:sz="4" w:space="0" w:color="auto"/>
              <w:right w:val="single" w:sz="4" w:space="0" w:color="auto"/>
            </w:tcBorders>
            <w:shd w:val="clear" w:color="969696" w:fill="808080"/>
            <w:noWrap/>
            <w:vAlign w:val="center"/>
            <w:hideMark/>
          </w:tcPr>
          <w:p w:rsidR="00EB7592" w:rsidRPr="00DF2BF5" w:rsidRDefault="00EB7592" w:rsidP="004D2C0F">
            <w:pPr>
              <w:jc w:val="center"/>
              <w:rPr>
                <w:b/>
                <w:bCs/>
                <w:color w:val="FFFFFF"/>
                <w:sz w:val="20"/>
                <w:szCs w:val="20"/>
              </w:rPr>
            </w:pPr>
            <w:r w:rsidRPr="00DF2BF5">
              <w:rPr>
                <w:b/>
                <w:bCs/>
                <w:color w:val="FFFFFF"/>
                <w:sz w:val="20"/>
                <w:szCs w:val="20"/>
              </w:rPr>
              <w:t>2</w:t>
            </w:r>
          </w:p>
        </w:tc>
        <w:tc>
          <w:tcPr>
            <w:tcW w:w="3420" w:type="dxa"/>
            <w:tcBorders>
              <w:top w:val="nil"/>
              <w:left w:val="nil"/>
              <w:bottom w:val="single" w:sz="4" w:space="0" w:color="auto"/>
              <w:right w:val="single" w:sz="4" w:space="0" w:color="auto"/>
            </w:tcBorders>
            <w:shd w:val="clear" w:color="auto" w:fill="auto"/>
            <w:vAlign w:val="center"/>
            <w:hideMark/>
          </w:tcPr>
          <w:p w:rsidR="00EB7592" w:rsidRPr="00DF2BF5" w:rsidRDefault="00EB7592" w:rsidP="004D2C0F">
            <w:pPr>
              <w:rPr>
                <w:color w:val="000000"/>
                <w:sz w:val="20"/>
                <w:szCs w:val="20"/>
              </w:rPr>
            </w:pPr>
            <w:r w:rsidRPr="00DF2BF5">
              <w:rPr>
                <w:color w:val="000000"/>
                <w:sz w:val="20"/>
                <w:szCs w:val="20"/>
              </w:rPr>
              <w:t>SOSYAL GÜVENLİK KURUM. DEV. PRİMİ GİDERLERİ</w:t>
            </w:r>
          </w:p>
        </w:tc>
        <w:tc>
          <w:tcPr>
            <w:tcW w:w="216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color w:val="000000"/>
                <w:sz w:val="20"/>
                <w:szCs w:val="20"/>
              </w:rPr>
            </w:pPr>
            <w:r w:rsidRPr="00DF2BF5">
              <w:rPr>
                <w:color w:val="000000"/>
                <w:sz w:val="20"/>
                <w:szCs w:val="20"/>
              </w:rPr>
              <w:t>81.386.967,40</w:t>
            </w:r>
          </w:p>
        </w:tc>
        <w:tc>
          <w:tcPr>
            <w:tcW w:w="200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FF"/>
                <w:sz w:val="20"/>
                <w:szCs w:val="20"/>
              </w:rPr>
            </w:pPr>
            <w:r w:rsidRPr="00DF2BF5">
              <w:rPr>
                <w:b/>
                <w:bCs/>
                <w:color w:val="0000FF"/>
                <w:sz w:val="20"/>
                <w:szCs w:val="20"/>
              </w:rPr>
              <w:t>2,58%</w:t>
            </w:r>
          </w:p>
        </w:tc>
      </w:tr>
      <w:tr w:rsidR="00EB7592" w:rsidRPr="00DF2BF5" w:rsidTr="004D2C0F">
        <w:trPr>
          <w:trHeight w:val="181"/>
        </w:trPr>
        <w:tc>
          <w:tcPr>
            <w:tcW w:w="1130" w:type="dxa"/>
            <w:tcBorders>
              <w:top w:val="nil"/>
              <w:left w:val="single" w:sz="4" w:space="0" w:color="auto"/>
              <w:bottom w:val="single" w:sz="4" w:space="0" w:color="auto"/>
              <w:right w:val="single" w:sz="4" w:space="0" w:color="auto"/>
            </w:tcBorders>
            <w:shd w:val="clear" w:color="969696" w:fill="808080"/>
            <w:noWrap/>
            <w:vAlign w:val="center"/>
            <w:hideMark/>
          </w:tcPr>
          <w:p w:rsidR="00EB7592" w:rsidRPr="00DF2BF5" w:rsidRDefault="00EB7592" w:rsidP="004D2C0F">
            <w:pPr>
              <w:jc w:val="center"/>
              <w:rPr>
                <w:b/>
                <w:bCs/>
                <w:color w:val="FFFFFF"/>
                <w:sz w:val="20"/>
                <w:szCs w:val="20"/>
              </w:rPr>
            </w:pPr>
            <w:r w:rsidRPr="00DF2BF5">
              <w:rPr>
                <w:b/>
                <w:bCs/>
                <w:color w:val="FFFFFF"/>
                <w:sz w:val="20"/>
                <w:szCs w:val="20"/>
              </w:rPr>
              <w:t>3</w:t>
            </w:r>
          </w:p>
        </w:tc>
        <w:tc>
          <w:tcPr>
            <w:tcW w:w="3420" w:type="dxa"/>
            <w:tcBorders>
              <w:top w:val="nil"/>
              <w:left w:val="nil"/>
              <w:bottom w:val="single" w:sz="4" w:space="0" w:color="auto"/>
              <w:right w:val="single" w:sz="4" w:space="0" w:color="auto"/>
            </w:tcBorders>
            <w:shd w:val="clear" w:color="auto" w:fill="auto"/>
            <w:vAlign w:val="center"/>
            <w:hideMark/>
          </w:tcPr>
          <w:p w:rsidR="00EB7592" w:rsidRPr="00DF2BF5" w:rsidRDefault="00EB7592" w:rsidP="004D2C0F">
            <w:pPr>
              <w:rPr>
                <w:sz w:val="20"/>
                <w:szCs w:val="20"/>
              </w:rPr>
            </w:pPr>
            <w:r w:rsidRPr="00DF2BF5">
              <w:rPr>
                <w:sz w:val="20"/>
                <w:szCs w:val="20"/>
              </w:rPr>
              <w:t>MAL VE HİZMET ALIM GİDERLERİ</w:t>
            </w:r>
          </w:p>
        </w:tc>
        <w:tc>
          <w:tcPr>
            <w:tcW w:w="216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color w:val="000000"/>
                <w:sz w:val="20"/>
                <w:szCs w:val="20"/>
              </w:rPr>
            </w:pPr>
            <w:r w:rsidRPr="00DF2BF5">
              <w:rPr>
                <w:color w:val="000000"/>
                <w:sz w:val="20"/>
                <w:szCs w:val="20"/>
              </w:rPr>
              <w:t>1.522.225.507,26</w:t>
            </w:r>
          </w:p>
        </w:tc>
        <w:tc>
          <w:tcPr>
            <w:tcW w:w="200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FF"/>
                <w:sz w:val="20"/>
                <w:szCs w:val="20"/>
              </w:rPr>
            </w:pPr>
            <w:r w:rsidRPr="00DF2BF5">
              <w:rPr>
                <w:b/>
                <w:bCs/>
                <w:color w:val="0000FF"/>
                <w:sz w:val="20"/>
                <w:szCs w:val="20"/>
              </w:rPr>
              <w:t>48,25%</w:t>
            </w:r>
          </w:p>
        </w:tc>
      </w:tr>
      <w:tr w:rsidR="00EB7592" w:rsidRPr="00DF2BF5" w:rsidTr="004D2C0F">
        <w:trPr>
          <w:trHeight w:val="70"/>
        </w:trPr>
        <w:tc>
          <w:tcPr>
            <w:tcW w:w="1130" w:type="dxa"/>
            <w:tcBorders>
              <w:top w:val="nil"/>
              <w:left w:val="single" w:sz="4" w:space="0" w:color="auto"/>
              <w:bottom w:val="single" w:sz="4" w:space="0" w:color="auto"/>
              <w:right w:val="single" w:sz="4" w:space="0" w:color="auto"/>
            </w:tcBorders>
            <w:shd w:val="clear" w:color="969696" w:fill="808080"/>
            <w:noWrap/>
            <w:vAlign w:val="center"/>
            <w:hideMark/>
          </w:tcPr>
          <w:p w:rsidR="00EB7592" w:rsidRPr="00DF2BF5" w:rsidRDefault="00EB7592" w:rsidP="004D2C0F">
            <w:pPr>
              <w:jc w:val="center"/>
              <w:rPr>
                <w:b/>
                <w:bCs/>
                <w:color w:val="FFFFFF"/>
                <w:sz w:val="20"/>
                <w:szCs w:val="20"/>
              </w:rPr>
            </w:pPr>
            <w:r w:rsidRPr="00DF2BF5">
              <w:rPr>
                <w:b/>
                <w:bCs/>
                <w:color w:val="FFFFFF"/>
                <w:sz w:val="20"/>
                <w:szCs w:val="20"/>
              </w:rPr>
              <w:t>4</w:t>
            </w:r>
          </w:p>
        </w:tc>
        <w:tc>
          <w:tcPr>
            <w:tcW w:w="3420" w:type="dxa"/>
            <w:tcBorders>
              <w:top w:val="nil"/>
              <w:left w:val="nil"/>
              <w:bottom w:val="single" w:sz="4" w:space="0" w:color="auto"/>
              <w:right w:val="single" w:sz="4" w:space="0" w:color="auto"/>
            </w:tcBorders>
            <w:shd w:val="clear" w:color="auto" w:fill="auto"/>
            <w:vAlign w:val="center"/>
            <w:hideMark/>
          </w:tcPr>
          <w:p w:rsidR="00EB7592" w:rsidRPr="00DF2BF5" w:rsidRDefault="00EB7592" w:rsidP="004D2C0F">
            <w:pPr>
              <w:rPr>
                <w:sz w:val="20"/>
                <w:szCs w:val="20"/>
              </w:rPr>
            </w:pPr>
            <w:r w:rsidRPr="00DF2BF5">
              <w:rPr>
                <w:sz w:val="20"/>
                <w:szCs w:val="20"/>
              </w:rPr>
              <w:t>FAİZ GİDERLERİ</w:t>
            </w:r>
          </w:p>
        </w:tc>
        <w:tc>
          <w:tcPr>
            <w:tcW w:w="216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color w:val="000000"/>
                <w:sz w:val="20"/>
                <w:szCs w:val="20"/>
              </w:rPr>
            </w:pPr>
            <w:r w:rsidRPr="00DF2BF5">
              <w:rPr>
                <w:color w:val="000000"/>
                <w:sz w:val="20"/>
                <w:szCs w:val="20"/>
              </w:rPr>
              <w:t>76.000.000,00</w:t>
            </w:r>
          </w:p>
        </w:tc>
        <w:tc>
          <w:tcPr>
            <w:tcW w:w="200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FF"/>
                <w:sz w:val="20"/>
                <w:szCs w:val="20"/>
              </w:rPr>
            </w:pPr>
            <w:r w:rsidRPr="00DF2BF5">
              <w:rPr>
                <w:b/>
                <w:bCs/>
                <w:color w:val="0000FF"/>
                <w:sz w:val="20"/>
                <w:szCs w:val="20"/>
              </w:rPr>
              <w:t>2,41%</w:t>
            </w:r>
          </w:p>
        </w:tc>
      </w:tr>
      <w:tr w:rsidR="00EB7592" w:rsidRPr="00DF2BF5" w:rsidTr="004D2C0F">
        <w:trPr>
          <w:trHeight w:val="70"/>
        </w:trPr>
        <w:tc>
          <w:tcPr>
            <w:tcW w:w="1130" w:type="dxa"/>
            <w:tcBorders>
              <w:top w:val="nil"/>
              <w:left w:val="single" w:sz="4" w:space="0" w:color="auto"/>
              <w:bottom w:val="single" w:sz="4" w:space="0" w:color="auto"/>
              <w:right w:val="single" w:sz="4" w:space="0" w:color="auto"/>
            </w:tcBorders>
            <w:shd w:val="clear" w:color="969696" w:fill="808080"/>
            <w:noWrap/>
            <w:vAlign w:val="center"/>
            <w:hideMark/>
          </w:tcPr>
          <w:p w:rsidR="00EB7592" w:rsidRPr="00DF2BF5" w:rsidRDefault="00EB7592" w:rsidP="004D2C0F">
            <w:pPr>
              <w:jc w:val="center"/>
              <w:rPr>
                <w:b/>
                <w:bCs/>
                <w:color w:val="FFFFFF"/>
                <w:sz w:val="20"/>
                <w:szCs w:val="20"/>
              </w:rPr>
            </w:pPr>
            <w:r w:rsidRPr="00DF2BF5">
              <w:rPr>
                <w:b/>
                <w:bCs/>
                <w:color w:val="FFFFFF"/>
                <w:sz w:val="20"/>
                <w:szCs w:val="20"/>
              </w:rPr>
              <w:t>5</w:t>
            </w:r>
          </w:p>
        </w:tc>
        <w:tc>
          <w:tcPr>
            <w:tcW w:w="3420" w:type="dxa"/>
            <w:tcBorders>
              <w:top w:val="nil"/>
              <w:left w:val="nil"/>
              <w:bottom w:val="single" w:sz="4" w:space="0" w:color="auto"/>
              <w:right w:val="single" w:sz="4" w:space="0" w:color="auto"/>
            </w:tcBorders>
            <w:shd w:val="clear" w:color="auto" w:fill="auto"/>
            <w:vAlign w:val="center"/>
            <w:hideMark/>
          </w:tcPr>
          <w:p w:rsidR="00EB7592" w:rsidRPr="00DF2BF5" w:rsidRDefault="00EB7592" w:rsidP="004D2C0F">
            <w:pPr>
              <w:rPr>
                <w:sz w:val="20"/>
                <w:szCs w:val="20"/>
              </w:rPr>
            </w:pPr>
            <w:r w:rsidRPr="00DF2BF5">
              <w:rPr>
                <w:sz w:val="20"/>
                <w:szCs w:val="20"/>
              </w:rPr>
              <w:t>CARİ TRANSFERLER</w:t>
            </w:r>
          </w:p>
        </w:tc>
        <w:tc>
          <w:tcPr>
            <w:tcW w:w="216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color w:val="000000"/>
                <w:sz w:val="20"/>
                <w:szCs w:val="20"/>
              </w:rPr>
            </w:pPr>
            <w:r w:rsidRPr="00DF2BF5">
              <w:rPr>
                <w:color w:val="000000"/>
                <w:sz w:val="20"/>
                <w:szCs w:val="20"/>
              </w:rPr>
              <w:t>52.713.968,80</w:t>
            </w:r>
          </w:p>
        </w:tc>
        <w:tc>
          <w:tcPr>
            <w:tcW w:w="200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FF"/>
                <w:sz w:val="20"/>
                <w:szCs w:val="20"/>
              </w:rPr>
            </w:pPr>
            <w:r w:rsidRPr="00DF2BF5">
              <w:rPr>
                <w:b/>
                <w:bCs/>
                <w:color w:val="0000FF"/>
                <w:sz w:val="20"/>
                <w:szCs w:val="20"/>
              </w:rPr>
              <w:t>1,67%</w:t>
            </w:r>
          </w:p>
        </w:tc>
      </w:tr>
      <w:tr w:rsidR="00EB7592" w:rsidRPr="00DF2BF5" w:rsidTr="004D2C0F">
        <w:trPr>
          <w:trHeight w:val="70"/>
        </w:trPr>
        <w:tc>
          <w:tcPr>
            <w:tcW w:w="1130" w:type="dxa"/>
            <w:tcBorders>
              <w:top w:val="nil"/>
              <w:left w:val="single" w:sz="4" w:space="0" w:color="auto"/>
              <w:bottom w:val="single" w:sz="4" w:space="0" w:color="auto"/>
              <w:right w:val="single" w:sz="4" w:space="0" w:color="auto"/>
            </w:tcBorders>
            <w:shd w:val="clear" w:color="969696" w:fill="808080"/>
            <w:noWrap/>
            <w:vAlign w:val="center"/>
            <w:hideMark/>
          </w:tcPr>
          <w:p w:rsidR="00EB7592" w:rsidRPr="00DF2BF5" w:rsidRDefault="00EB7592" w:rsidP="004D2C0F">
            <w:pPr>
              <w:jc w:val="center"/>
              <w:rPr>
                <w:b/>
                <w:bCs/>
                <w:color w:val="FFFFFF"/>
                <w:sz w:val="20"/>
                <w:szCs w:val="20"/>
              </w:rPr>
            </w:pPr>
            <w:r w:rsidRPr="00DF2BF5">
              <w:rPr>
                <w:b/>
                <w:bCs/>
                <w:color w:val="FFFFFF"/>
                <w:sz w:val="20"/>
                <w:szCs w:val="20"/>
              </w:rPr>
              <w:t>6</w:t>
            </w:r>
          </w:p>
        </w:tc>
        <w:tc>
          <w:tcPr>
            <w:tcW w:w="3420" w:type="dxa"/>
            <w:tcBorders>
              <w:top w:val="nil"/>
              <w:left w:val="nil"/>
              <w:bottom w:val="single" w:sz="4" w:space="0" w:color="auto"/>
              <w:right w:val="single" w:sz="4" w:space="0" w:color="auto"/>
            </w:tcBorders>
            <w:shd w:val="clear" w:color="auto" w:fill="auto"/>
            <w:vAlign w:val="center"/>
            <w:hideMark/>
          </w:tcPr>
          <w:p w:rsidR="00EB7592" w:rsidRPr="00DF2BF5" w:rsidRDefault="00EB7592" w:rsidP="004D2C0F">
            <w:pPr>
              <w:rPr>
                <w:sz w:val="20"/>
                <w:szCs w:val="20"/>
              </w:rPr>
            </w:pPr>
            <w:r w:rsidRPr="00DF2BF5">
              <w:rPr>
                <w:sz w:val="20"/>
                <w:szCs w:val="20"/>
              </w:rPr>
              <w:t>SERMAYE GİDERLERİ</w:t>
            </w:r>
          </w:p>
        </w:tc>
        <w:tc>
          <w:tcPr>
            <w:tcW w:w="216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color w:val="000000"/>
                <w:sz w:val="20"/>
                <w:szCs w:val="20"/>
              </w:rPr>
            </w:pPr>
            <w:r w:rsidRPr="00DF2BF5">
              <w:rPr>
                <w:color w:val="000000"/>
                <w:sz w:val="20"/>
                <w:szCs w:val="20"/>
              </w:rPr>
              <w:t>694.182.629,49</w:t>
            </w:r>
          </w:p>
        </w:tc>
        <w:tc>
          <w:tcPr>
            <w:tcW w:w="200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FF"/>
                <w:sz w:val="20"/>
                <w:szCs w:val="20"/>
              </w:rPr>
            </w:pPr>
            <w:r w:rsidRPr="00DF2BF5">
              <w:rPr>
                <w:b/>
                <w:bCs/>
                <w:color w:val="0000FF"/>
                <w:sz w:val="20"/>
                <w:szCs w:val="20"/>
              </w:rPr>
              <w:t>22,00%</w:t>
            </w:r>
          </w:p>
        </w:tc>
      </w:tr>
      <w:tr w:rsidR="00EB7592" w:rsidRPr="00DF2BF5" w:rsidTr="004D2C0F">
        <w:trPr>
          <w:trHeight w:val="209"/>
        </w:trPr>
        <w:tc>
          <w:tcPr>
            <w:tcW w:w="1130" w:type="dxa"/>
            <w:tcBorders>
              <w:top w:val="nil"/>
              <w:left w:val="single" w:sz="4" w:space="0" w:color="auto"/>
              <w:bottom w:val="single" w:sz="4" w:space="0" w:color="auto"/>
              <w:right w:val="single" w:sz="4" w:space="0" w:color="auto"/>
            </w:tcBorders>
            <w:shd w:val="clear" w:color="969696" w:fill="808080"/>
            <w:noWrap/>
            <w:vAlign w:val="center"/>
            <w:hideMark/>
          </w:tcPr>
          <w:p w:rsidR="00EB7592" w:rsidRPr="00DF2BF5" w:rsidRDefault="00EB7592" w:rsidP="004D2C0F">
            <w:pPr>
              <w:jc w:val="center"/>
              <w:rPr>
                <w:b/>
                <w:bCs/>
                <w:color w:val="FFFFFF"/>
                <w:sz w:val="20"/>
                <w:szCs w:val="20"/>
              </w:rPr>
            </w:pPr>
            <w:r w:rsidRPr="00DF2BF5">
              <w:rPr>
                <w:b/>
                <w:bCs/>
                <w:color w:val="FFFFFF"/>
                <w:sz w:val="20"/>
                <w:szCs w:val="20"/>
              </w:rPr>
              <w:t>7</w:t>
            </w:r>
          </w:p>
        </w:tc>
        <w:tc>
          <w:tcPr>
            <w:tcW w:w="3420" w:type="dxa"/>
            <w:tcBorders>
              <w:top w:val="nil"/>
              <w:left w:val="nil"/>
              <w:bottom w:val="single" w:sz="4" w:space="0" w:color="auto"/>
              <w:right w:val="single" w:sz="4" w:space="0" w:color="auto"/>
            </w:tcBorders>
            <w:shd w:val="clear" w:color="auto" w:fill="auto"/>
            <w:vAlign w:val="center"/>
            <w:hideMark/>
          </w:tcPr>
          <w:p w:rsidR="00EB7592" w:rsidRPr="00DF2BF5" w:rsidRDefault="00EB7592" w:rsidP="004D2C0F">
            <w:pPr>
              <w:rPr>
                <w:sz w:val="20"/>
                <w:szCs w:val="20"/>
              </w:rPr>
            </w:pPr>
            <w:r w:rsidRPr="00DF2BF5">
              <w:rPr>
                <w:sz w:val="20"/>
                <w:szCs w:val="20"/>
              </w:rPr>
              <w:t>SERMAYE TRANSFERLERİ</w:t>
            </w:r>
          </w:p>
        </w:tc>
        <w:tc>
          <w:tcPr>
            <w:tcW w:w="216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color w:val="000000"/>
                <w:sz w:val="20"/>
                <w:szCs w:val="20"/>
              </w:rPr>
            </w:pPr>
            <w:r w:rsidRPr="00DF2BF5">
              <w:rPr>
                <w:color w:val="000000"/>
                <w:sz w:val="20"/>
                <w:szCs w:val="20"/>
              </w:rPr>
              <w:t>17.043.000,00</w:t>
            </w:r>
          </w:p>
        </w:tc>
        <w:tc>
          <w:tcPr>
            <w:tcW w:w="200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FF"/>
                <w:sz w:val="20"/>
                <w:szCs w:val="20"/>
              </w:rPr>
            </w:pPr>
            <w:r w:rsidRPr="00DF2BF5">
              <w:rPr>
                <w:b/>
                <w:bCs/>
                <w:color w:val="0000FF"/>
                <w:sz w:val="20"/>
                <w:szCs w:val="20"/>
              </w:rPr>
              <w:t>0,54%</w:t>
            </w:r>
          </w:p>
        </w:tc>
      </w:tr>
      <w:tr w:rsidR="00EB7592" w:rsidRPr="00DF2BF5" w:rsidTr="004D2C0F">
        <w:trPr>
          <w:trHeight w:val="256"/>
        </w:trPr>
        <w:tc>
          <w:tcPr>
            <w:tcW w:w="1130" w:type="dxa"/>
            <w:tcBorders>
              <w:top w:val="nil"/>
              <w:left w:val="single" w:sz="4" w:space="0" w:color="auto"/>
              <w:bottom w:val="single" w:sz="4" w:space="0" w:color="auto"/>
              <w:right w:val="single" w:sz="4" w:space="0" w:color="auto"/>
            </w:tcBorders>
            <w:shd w:val="clear" w:color="969696" w:fill="808080"/>
            <w:noWrap/>
            <w:vAlign w:val="center"/>
            <w:hideMark/>
          </w:tcPr>
          <w:p w:rsidR="00EB7592" w:rsidRPr="00DF2BF5" w:rsidRDefault="00EB7592" w:rsidP="004D2C0F">
            <w:pPr>
              <w:jc w:val="center"/>
              <w:rPr>
                <w:b/>
                <w:bCs/>
                <w:color w:val="FFFFFF"/>
                <w:sz w:val="20"/>
                <w:szCs w:val="20"/>
              </w:rPr>
            </w:pPr>
            <w:r w:rsidRPr="00DF2BF5">
              <w:rPr>
                <w:b/>
                <w:bCs/>
                <w:color w:val="FFFFFF"/>
                <w:sz w:val="20"/>
                <w:szCs w:val="20"/>
              </w:rPr>
              <w:t>8</w:t>
            </w:r>
          </w:p>
        </w:tc>
        <w:tc>
          <w:tcPr>
            <w:tcW w:w="3420" w:type="dxa"/>
            <w:tcBorders>
              <w:top w:val="nil"/>
              <w:left w:val="nil"/>
              <w:bottom w:val="single" w:sz="4" w:space="0" w:color="auto"/>
              <w:right w:val="single" w:sz="4" w:space="0" w:color="auto"/>
            </w:tcBorders>
            <w:shd w:val="clear" w:color="auto" w:fill="auto"/>
            <w:vAlign w:val="center"/>
            <w:hideMark/>
          </w:tcPr>
          <w:p w:rsidR="00EB7592" w:rsidRPr="00DF2BF5" w:rsidRDefault="00EB7592" w:rsidP="004D2C0F">
            <w:pPr>
              <w:rPr>
                <w:sz w:val="20"/>
                <w:szCs w:val="20"/>
              </w:rPr>
            </w:pPr>
            <w:r w:rsidRPr="00DF2BF5">
              <w:rPr>
                <w:sz w:val="20"/>
                <w:szCs w:val="20"/>
              </w:rPr>
              <w:t>BORÇ VERME</w:t>
            </w:r>
          </w:p>
        </w:tc>
        <w:tc>
          <w:tcPr>
            <w:tcW w:w="216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color w:val="000000"/>
                <w:sz w:val="20"/>
                <w:szCs w:val="20"/>
              </w:rPr>
            </w:pPr>
            <w:r w:rsidRPr="00DF2BF5">
              <w:rPr>
                <w:color w:val="000000"/>
                <w:sz w:val="20"/>
                <w:szCs w:val="20"/>
              </w:rPr>
              <w:t>0,00</w:t>
            </w:r>
          </w:p>
        </w:tc>
        <w:tc>
          <w:tcPr>
            <w:tcW w:w="200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FF"/>
                <w:sz w:val="20"/>
                <w:szCs w:val="20"/>
              </w:rPr>
            </w:pPr>
            <w:r w:rsidRPr="00DF2BF5">
              <w:rPr>
                <w:b/>
                <w:bCs/>
                <w:color w:val="0000FF"/>
                <w:sz w:val="20"/>
                <w:szCs w:val="20"/>
              </w:rPr>
              <w:t>0,00%</w:t>
            </w:r>
          </w:p>
        </w:tc>
      </w:tr>
      <w:tr w:rsidR="00EB7592" w:rsidRPr="00DF2BF5" w:rsidTr="004D2C0F">
        <w:trPr>
          <w:trHeight w:val="117"/>
        </w:trPr>
        <w:tc>
          <w:tcPr>
            <w:tcW w:w="1130" w:type="dxa"/>
            <w:tcBorders>
              <w:top w:val="nil"/>
              <w:left w:val="single" w:sz="4" w:space="0" w:color="auto"/>
              <w:bottom w:val="single" w:sz="4" w:space="0" w:color="auto"/>
              <w:right w:val="single" w:sz="4" w:space="0" w:color="auto"/>
            </w:tcBorders>
            <w:shd w:val="clear" w:color="969696" w:fill="808080"/>
            <w:noWrap/>
            <w:vAlign w:val="center"/>
            <w:hideMark/>
          </w:tcPr>
          <w:p w:rsidR="00EB7592" w:rsidRPr="00DF2BF5" w:rsidRDefault="00EB7592" w:rsidP="004D2C0F">
            <w:pPr>
              <w:jc w:val="center"/>
              <w:rPr>
                <w:b/>
                <w:bCs/>
                <w:color w:val="FFFFFF"/>
                <w:sz w:val="20"/>
                <w:szCs w:val="20"/>
              </w:rPr>
            </w:pPr>
            <w:r w:rsidRPr="00DF2BF5">
              <w:rPr>
                <w:b/>
                <w:bCs/>
                <w:color w:val="FFFFFF"/>
                <w:sz w:val="20"/>
                <w:szCs w:val="20"/>
              </w:rPr>
              <w:t>9</w:t>
            </w:r>
          </w:p>
        </w:tc>
        <w:tc>
          <w:tcPr>
            <w:tcW w:w="3420" w:type="dxa"/>
            <w:tcBorders>
              <w:top w:val="nil"/>
              <w:left w:val="nil"/>
              <w:bottom w:val="single" w:sz="4" w:space="0" w:color="auto"/>
              <w:right w:val="single" w:sz="4" w:space="0" w:color="auto"/>
            </w:tcBorders>
            <w:shd w:val="clear" w:color="auto" w:fill="auto"/>
            <w:vAlign w:val="center"/>
            <w:hideMark/>
          </w:tcPr>
          <w:p w:rsidR="00EB7592" w:rsidRPr="00DF2BF5" w:rsidRDefault="00EB7592" w:rsidP="004D2C0F">
            <w:pPr>
              <w:rPr>
                <w:sz w:val="20"/>
                <w:szCs w:val="20"/>
              </w:rPr>
            </w:pPr>
            <w:r w:rsidRPr="00DF2BF5">
              <w:rPr>
                <w:sz w:val="20"/>
                <w:szCs w:val="20"/>
              </w:rPr>
              <w:t>YEDEK ÖDENEK</w:t>
            </w:r>
          </w:p>
        </w:tc>
        <w:tc>
          <w:tcPr>
            <w:tcW w:w="216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color w:val="000000"/>
                <w:sz w:val="20"/>
                <w:szCs w:val="20"/>
              </w:rPr>
            </w:pPr>
            <w:r w:rsidRPr="00DF2BF5">
              <w:rPr>
                <w:color w:val="000000"/>
                <w:sz w:val="20"/>
                <w:szCs w:val="20"/>
              </w:rPr>
              <w:t>200.000.000,00</w:t>
            </w:r>
          </w:p>
        </w:tc>
        <w:tc>
          <w:tcPr>
            <w:tcW w:w="200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FF"/>
                <w:sz w:val="20"/>
                <w:szCs w:val="20"/>
              </w:rPr>
            </w:pPr>
            <w:r w:rsidRPr="00DF2BF5">
              <w:rPr>
                <w:b/>
                <w:bCs/>
                <w:color w:val="0000FF"/>
                <w:sz w:val="20"/>
                <w:szCs w:val="20"/>
              </w:rPr>
              <w:t>6,34%</w:t>
            </w:r>
          </w:p>
        </w:tc>
      </w:tr>
      <w:tr w:rsidR="00EB7592" w:rsidRPr="00DF2BF5" w:rsidTr="004D2C0F">
        <w:trPr>
          <w:trHeight w:val="163"/>
        </w:trPr>
        <w:tc>
          <w:tcPr>
            <w:tcW w:w="1130" w:type="dxa"/>
            <w:tcBorders>
              <w:top w:val="nil"/>
              <w:left w:val="single" w:sz="4" w:space="0" w:color="auto"/>
              <w:bottom w:val="single" w:sz="4" w:space="0" w:color="auto"/>
              <w:right w:val="single" w:sz="4" w:space="0" w:color="auto"/>
            </w:tcBorders>
            <w:shd w:val="clear" w:color="CCCCFF" w:fill="C0C0C0"/>
            <w:noWrap/>
            <w:vAlign w:val="center"/>
            <w:hideMark/>
          </w:tcPr>
          <w:p w:rsidR="00EB7592" w:rsidRPr="00DF2BF5" w:rsidRDefault="00EB7592" w:rsidP="004D2C0F">
            <w:pPr>
              <w:jc w:val="center"/>
              <w:rPr>
                <w:b/>
                <w:bCs/>
                <w:sz w:val="20"/>
                <w:szCs w:val="20"/>
              </w:rPr>
            </w:pPr>
            <w:r w:rsidRPr="00DF2BF5">
              <w:rPr>
                <w:b/>
                <w:bCs/>
                <w:sz w:val="20"/>
                <w:szCs w:val="20"/>
              </w:rPr>
              <w:t xml:space="preserve"> </w:t>
            </w:r>
          </w:p>
        </w:tc>
        <w:tc>
          <w:tcPr>
            <w:tcW w:w="342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rPr>
                <w:b/>
                <w:bCs/>
                <w:sz w:val="20"/>
                <w:szCs w:val="20"/>
              </w:rPr>
            </w:pPr>
            <w:r w:rsidRPr="00DF2BF5">
              <w:rPr>
                <w:b/>
                <w:bCs/>
                <w:sz w:val="20"/>
                <w:szCs w:val="20"/>
              </w:rPr>
              <w:t>GENEL TOPLAM</w:t>
            </w:r>
          </w:p>
        </w:tc>
        <w:tc>
          <w:tcPr>
            <w:tcW w:w="216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3.155.000.000,00</w:t>
            </w:r>
          </w:p>
        </w:tc>
        <w:tc>
          <w:tcPr>
            <w:tcW w:w="2000"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FF"/>
                <w:sz w:val="20"/>
                <w:szCs w:val="20"/>
              </w:rPr>
            </w:pPr>
            <w:r w:rsidRPr="00DF2BF5">
              <w:rPr>
                <w:b/>
                <w:bCs/>
                <w:color w:val="0000FF"/>
                <w:sz w:val="20"/>
                <w:szCs w:val="20"/>
              </w:rPr>
              <w:t>100,00%</w:t>
            </w:r>
          </w:p>
        </w:tc>
      </w:tr>
    </w:tbl>
    <w:p w:rsidR="00EB7592" w:rsidRPr="00AF6298" w:rsidRDefault="00EB7592" w:rsidP="00EB7592">
      <w:pPr>
        <w:pStyle w:val="DzMetin"/>
        <w:jc w:val="both"/>
        <w:rPr>
          <w:b/>
        </w:rPr>
      </w:pPr>
    </w:p>
    <w:p w:rsidR="00EB7592" w:rsidRDefault="00EB7592" w:rsidP="00EB7592">
      <w:pPr>
        <w:jc w:val="both"/>
        <w:rPr>
          <w:b/>
        </w:rPr>
      </w:pPr>
    </w:p>
    <w:tbl>
      <w:tblPr>
        <w:tblW w:w="9526" w:type="dxa"/>
        <w:tblInd w:w="55" w:type="dxa"/>
        <w:tblCellMar>
          <w:left w:w="70" w:type="dxa"/>
          <w:right w:w="70" w:type="dxa"/>
        </w:tblCellMar>
        <w:tblLook w:val="04A0"/>
      </w:tblPr>
      <w:tblGrid>
        <w:gridCol w:w="385"/>
        <w:gridCol w:w="385"/>
        <w:gridCol w:w="393"/>
        <w:gridCol w:w="393"/>
        <w:gridCol w:w="452"/>
        <w:gridCol w:w="4311"/>
        <w:gridCol w:w="1853"/>
        <w:gridCol w:w="1394"/>
      </w:tblGrid>
      <w:tr w:rsidR="00EB7592" w:rsidRPr="00DF2BF5" w:rsidTr="004D2C0F">
        <w:trPr>
          <w:trHeight w:val="330"/>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7592" w:rsidRPr="00DF2BF5" w:rsidRDefault="00EB7592" w:rsidP="004D2C0F">
            <w:pPr>
              <w:rPr>
                <w:b/>
                <w:bCs/>
                <w:sz w:val="20"/>
                <w:szCs w:val="20"/>
              </w:rPr>
            </w:pPr>
            <w:r w:rsidRPr="00DF2BF5">
              <w:rPr>
                <w:b/>
                <w:bCs/>
                <w:sz w:val="20"/>
                <w:szCs w:val="20"/>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rsidR="00EB7592" w:rsidRPr="00DF2BF5" w:rsidRDefault="00EB7592" w:rsidP="004D2C0F">
            <w:pPr>
              <w:rPr>
                <w:b/>
                <w:bCs/>
                <w:sz w:val="20"/>
                <w:szCs w:val="20"/>
              </w:rPr>
            </w:pPr>
            <w:r w:rsidRPr="00DF2BF5">
              <w:rPr>
                <w:b/>
                <w:bCs/>
                <w:sz w:val="20"/>
                <w:szCs w:val="20"/>
              </w:rPr>
              <w:t>I</w:t>
            </w:r>
          </w:p>
        </w:tc>
        <w:tc>
          <w:tcPr>
            <w:tcW w:w="393" w:type="dxa"/>
            <w:tcBorders>
              <w:top w:val="single" w:sz="4" w:space="0" w:color="auto"/>
              <w:left w:val="nil"/>
              <w:bottom w:val="single" w:sz="4" w:space="0" w:color="auto"/>
              <w:right w:val="single" w:sz="4" w:space="0" w:color="auto"/>
            </w:tcBorders>
            <w:shd w:val="clear" w:color="auto" w:fill="auto"/>
            <w:noWrap/>
            <w:vAlign w:val="bottom"/>
            <w:hideMark/>
          </w:tcPr>
          <w:p w:rsidR="00EB7592" w:rsidRPr="00DF2BF5" w:rsidRDefault="00EB7592" w:rsidP="004D2C0F">
            <w:pPr>
              <w:rPr>
                <w:b/>
                <w:bCs/>
                <w:sz w:val="20"/>
                <w:szCs w:val="20"/>
              </w:rPr>
            </w:pPr>
            <w:r w:rsidRPr="00DF2BF5">
              <w:rPr>
                <w:b/>
                <w:bCs/>
                <w:sz w:val="20"/>
                <w:szCs w:val="20"/>
              </w:rPr>
              <w:t>II</w:t>
            </w:r>
          </w:p>
        </w:tc>
        <w:tc>
          <w:tcPr>
            <w:tcW w:w="393" w:type="dxa"/>
            <w:tcBorders>
              <w:top w:val="single" w:sz="4" w:space="0" w:color="auto"/>
              <w:left w:val="nil"/>
              <w:bottom w:val="single" w:sz="4" w:space="0" w:color="auto"/>
              <w:right w:val="single" w:sz="4" w:space="0" w:color="auto"/>
            </w:tcBorders>
            <w:shd w:val="clear" w:color="auto" w:fill="auto"/>
            <w:noWrap/>
            <w:vAlign w:val="bottom"/>
            <w:hideMark/>
          </w:tcPr>
          <w:p w:rsidR="00EB7592" w:rsidRPr="00DF2BF5" w:rsidRDefault="00EB7592" w:rsidP="004D2C0F">
            <w:pPr>
              <w:rPr>
                <w:b/>
                <w:bCs/>
                <w:sz w:val="20"/>
                <w:szCs w:val="20"/>
              </w:rPr>
            </w:pPr>
            <w:r w:rsidRPr="00DF2BF5">
              <w:rPr>
                <w:b/>
                <w:bCs/>
                <w:sz w:val="20"/>
                <w:szCs w:val="20"/>
              </w:rPr>
              <w:t>III</w:t>
            </w:r>
          </w:p>
        </w:tc>
        <w:tc>
          <w:tcPr>
            <w:tcW w:w="452" w:type="dxa"/>
            <w:tcBorders>
              <w:top w:val="single" w:sz="4" w:space="0" w:color="auto"/>
              <w:left w:val="nil"/>
              <w:bottom w:val="single" w:sz="4" w:space="0" w:color="auto"/>
              <w:right w:val="single" w:sz="4" w:space="0" w:color="auto"/>
            </w:tcBorders>
            <w:shd w:val="clear" w:color="auto" w:fill="auto"/>
            <w:noWrap/>
            <w:vAlign w:val="bottom"/>
            <w:hideMark/>
          </w:tcPr>
          <w:p w:rsidR="00EB7592" w:rsidRPr="00DF2BF5" w:rsidRDefault="00EB7592" w:rsidP="004D2C0F">
            <w:pPr>
              <w:rPr>
                <w:b/>
                <w:bCs/>
                <w:sz w:val="20"/>
                <w:szCs w:val="20"/>
              </w:rPr>
            </w:pPr>
            <w:r w:rsidRPr="00DF2BF5">
              <w:rPr>
                <w:b/>
                <w:bCs/>
                <w:sz w:val="20"/>
                <w:szCs w:val="20"/>
              </w:rPr>
              <w:t>IV</w:t>
            </w:r>
          </w:p>
        </w:tc>
        <w:tc>
          <w:tcPr>
            <w:tcW w:w="4311" w:type="dxa"/>
            <w:tcBorders>
              <w:top w:val="single" w:sz="4" w:space="0" w:color="auto"/>
              <w:left w:val="nil"/>
              <w:bottom w:val="single" w:sz="4" w:space="0" w:color="auto"/>
              <w:right w:val="single" w:sz="4" w:space="0" w:color="auto"/>
            </w:tcBorders>
            <w:shd w:val="clear" w:color="auto" w:fill="auto"/>
            <w:noWrap/>
            <w:vAlign w:val="bottom"/>
            <w:hideMark/>
          </w:tcPr>
          <w:p w:rsidR="00EB7592" w:rsidRPr="00DF2BF5" w:rsidRDefault="00EB7592" w:rsidP="004D2C0F">
            <w:pPr>
              <w:rPr>
                <w:sz w:val="20"/>
                <w:szCs w:val="20"/>
              </w:rPr>
            </w:pPr>
            <w:r w:rsidRPr="00DF2BF5">
              <w:rPr>
                <w:sz w:val="20"/>
                <w:szCs w:val="20"/>
              </w:rPr>
              <w:t> </w:t>
            </w:r>
          </w:p>
        </w:tc>
        <w:tc>
          <w:tcPr>
            <w:tcW w:w="1853" w:type="dxa"/>
            <w:tcBorders>
              <w:top w:val="nil"/>
              <w:left w:val="nil"/>
              <w:bottom w:val="nil"/>
              <w:right w:val="nil"/>
            </w:tcBorders>
            <w:shd w:val="clear" w:color="auto" w:fill="auto"/>
            <w:noWrap/>
            <w:vAlign w:val="bottom"/>
            <w:hideMark/>
          </w:tcPr>
          <w:p w:rsidR="00EB7592" w:rsidRPr="00DF2BF5" w:rsidRDefault="00EB7592" w:rsidP="004D2C0F">
            <w:pPr>
              <w:rPr>
                <w:sz w:val="20"/>
                <w:szCs w:val="20"/>
              </w:rPr>
            </w:pPr>
          </w:p>
        </w:tc>
        <w:tc>
          <w:tcPr>
            <w:tcW w:w="1394" w:type="dxa"/>
            <w:tcBorders>
              <w:top w:val="nil"/>
              <w:left w:val="nil"/>
              <w:bottom w:val="nil"/>
              <w:right w:val="nil"/>
            </w:tcBorders>
            <w:shd w:val="clear" w:color="auto" w:fill="auto"/>
            <w:noWrap/>
            <w:vAlign w:val="bottom"/>
            <w:hideMark/>
          </w:tcPr>
          <w:p w:rsidR="00EB7592" w:rsidRPr="00DF2BF5" w:rsidRDefault="00EB7592" w:rsidP="004D2C0F">
            <w:pPr>
              <w:rPr>
                <w:sz w:val="20"/>
                <w:szCs w:val="20"/>
              </w:rPr>
            </w:pPr>
          </w:p>
        </w:tc>
      </w:tr>
      <w:tr w:rsidR="00EB7592" w:rsidRPr="00DF2BF5" w:rsidTr="004D2C0F">
        <w:trPr>
          <w:trHeight w:val="221"/>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sz w:val="20"/>
                <w:szCs w:val="20"/>
              </w:rPr>
            </w:pPr>
            <w:r w:rsidRPr="00DF2BF5">
              <w:rPr>
                <w:sz w:val="20"/>
                <w:szCs w:val="20"/>
              </w:rPr>
              <w:t> </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46</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311" w:type="dxa"/>
            <w:tcBorders>
              <w:top w:val="nil"/>
              <w:left w:val="nil"/>
              <w:bottom w:val="single" w:sz="4" w:space="0" w:color="auto"/>
              <w:right w:val="single" w:sz="4" w:space="0" w:color="auto"/>
            </w:tcBorders>
            <w:shd w:val="clear" w:color="auto" w:fill="auto"/>
            <w:noWrap/>
            <w:vAlign w:val="bottom"/>
            <w:hideMark/>
          </w:tcPr>
          <w:p w:rsidR="00EB7592" w:rsidRPr="00DF2BF5" w:rsidRDefault="00EB7592" w:rsidP="004D2C0F">
            <w:pPr>
              <w:rPr>
                <w:sz w:val="20"/>
                <w:szCs w:val="20"/>
              </w:rPr>
            </w:pPr>
            <w:r w:rsidRPr="00DF2BF5">
              <w:rPr>
                <w:sz w:val="20"/>
                <w:szCs w:val="20"/>
              </w:rPr>
              <w:t>ERZİNCAN İLİ</w:t>
            </w:r>
          </w:p>
        </w:tc>
        <w:tc>
          <w:tcPr>
            <w:tcW w:w="1853" w:type="dxa"/>
            <w:tcBorders>
              <w:top w:val="nil"/>
              <w:left w:val="nil"/>
              <w:bottom w:val="nil"/>
              <w:right w:val="nil"/>
            </w:tcBorders>
            <w:shd w:val="clear" w:color="auto" w:fill="auto"/>
            <w:noWrap/>
            <w:vAlign w:val="bottom"/>
            <w:hideMark/>
          </w:tcPr>
          <w:p w:rsidR="00EB7592" w:rsidRPr="00DF2BF5" w:rsidRDefault="00EB7592" w:rsidP="004D2C0F">
            <w:pPr>
              <w:rPr>
                <w:sz w:val="20"/>
                <w:szCs w:val="20"/>
              </w:rPr>
            </w:pPr>
          </w:p>
        </w:tc>
        <w:tc>
          <w:tcPr>
            <w:tcW w:w="1394" w:type="dxa"/>
            <w:tcBorders>
              <w:top w:val="nil"/>
              <w:left w:val="nil"/>
              <w:bottom w:val="nil"/>
              <w:right w:val="nil"/>
            </w:tcBorders>
            <w:shd w:val="clear" w:color="auto" w:fill="auto"/>
            <w:noWrap/>
            <w:vAlign w:val="bottom"/>
            <w:hideMark/>
          </w:tcPr>
          <w:p w:rsidR="00EB7592" w:rsidRPr="00DF2BF5" w:rsidRDefault="00EB7592" w:rsidP="004D2C0F">
            <w:pPr>
              <w:rPr>
                <w:sz w:val="20"/>
                <w:szCs w:val="20"/>
              </w:rPr>
            </w:pPr>
          </w:p>
        </w:tc>
      </w:tr>
      <w:tr w:rsidR="00EB7592" w:rsidRPr="00DF2BF5" w:rsidTr="004D2C0F">
        <w:trPr>
          <w:trHeight w:val="125"/>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sz w:val="20"/>
                <w:szCs w:val="20"/>
              </w:rPr>
            </w:pPr>
            <w:r w:rsidRPr="00DF2BF5">
              <w:rPr>
                <w:sz w:val="20"/>
                <w:szCs w:val="20"/>
              </w:rPr>
              <w:t> </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24</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311" w:type="dxa"/>
            <w:tcBorders>
              <w:top w:val="nil"/>
              <w:left w:val="nil"/>
              <w:bottom w:val="single" w:sz="4" w:space="0" w:color="auto"/>
              <w:right w:val="single" w:sz="4" w:space="0" w:color="auto"/>
            </w:tcBorders>
            <w:shd w:val="clear" w:color="auto" w:fill="auto"/>
            <w:noWrap/>
            <w:vAlign w:val="bottom"/>
            <w:hideMark/>
          </w:tcPr>
          <w:p w:rsidR="00EB7592" w:rsidRPr="00DF2BF5" w:rsidRDefault="00EB7592" w:rsidP="004D2C0F">
            <w:pPr>
              <w:rPr>
                <w:b/>
                <w:bCs/>
                <w:sz w:val="20"/>
                <w:szCs w:val="20"/>
              </w:rPr>
            </w:pPr>
            <w:r w:rsidRPr="00DF2BF5">
              <w:rPr>
                <w:b/>
                <w:bCs/>
                <w:sz w:val="20"/>
                <w:szCs w:val="20"/>
              </w:rPr>
              <w:t>ERZİNCAN BELEDİYESİ</w:t>
            </w:r>
          </w:p>
        </w:tc>
        <w:tc>
          <w:tcPr>
            <w:tcW w:w="1853" w:type="dxa"/>
            <w:tcBorders>
              <w:top w:val="nil"/>
              <w:left w:val="nil"/>
              <w:bottom w:val="nil"/>
              <w:right w:val="nil"/>
            </w:tcBorders>
            <w:shd w:val="clear" w:color="auto" w:fill="auto"/>
            <w:noWrap/>
            <w:vAlign w:val="bottom"/>
            <w:hideMark/>
          </w:tcPr>
          <w:p w:rsidR="00EB7592" w:rsidRPr="00DF2BF5" w:rsidRDefault="00EB7592" w:rsidP="004D2C0F">
            <w:pPr>
              <w:rPr>
                <w:sz w:val="20"/>
                <w:szCs w:val="20"/>
              </w:rPr>
            </w:pPr>
          </w:p>
        </w:tc>
        <w:tc>
          <w:tcPr>
            <w:tcW w:w="1394" w:type="dxa"/>
            <w:tcBorders>
              <w:top w:val="nil"/>
              <w:left w:val="nil"/>
              <w:bottom w:val="nil"/>
              <w:right w:val="nil"/>
            </w:tcBorders>
            <w:shd w:val="clear" w:color="auto" w:fill="auto"/>
            <w:noWrap/>
            <w:vAlign w:val="bottom"/>
            <w:hideMark/>
          </w:tcPr>
          <w:p w:rsidR="00EB7592" w:rsidRPr="00DF2BF5" w:rsidRDefault="00EB7592" w:rsidP="004D2C0F">
            <w:pPr>
              <w:rPr>
                <w:sz w:val="20"/>
                <w:szCs w:val="20"/>
              </w:rPr>
            </w:pPr>
          </w:p>
        </w:tc>
      </w:tr>
      <w:tr w:rsidR="00EB7592" w:rsidRPr="00DF2BF5" w:rsidTr="004D2C0F">
        <w:trPr>
          <w:trHeight w:val="303"/>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sz w:val="20"/>
                <w:szCs w:val="20"/>
              </w:rPr>
            </w:pPr>
            <w:r w:rsidRPr="00DF2BF5">
              <w:rPr>
                <w:sz w:val="20"/>
                <w:szCs w:val="20"/>
              </w:rPr>
              <w:t> </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 xml:space="preserve">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311" w:type="dxa"/>
            <w:tcBorders>
              <w:top w:val="nil"/>
              <w:left w:val="nil"/>
              <w:bottom w:val="single" w:sz="4" w:space="0" w:color="auto"/>
              <w:right w:val="single" w:sz="4" w:space="0" w:color="auto"/>
            </w:tcBorders>
            <w:shd w:val="clear" w:color="auto" w:fill="auto"/>
            <w:noWrap/>
            <w:vAlign w:val="bottom"/>
            <w:hideMark/>
          </w:tcPr>
          <w:p w:rsidR="00EB7592" w:rsidRPr="00DF2BF5" w:rsidRDefault="00EB7592" w:rsidP="004D2C0F">
            <w:pPr>
              <w:rPr>
                <w:color w:val="000000"/>
                <w:sz w:val="20"/>
                <w:szCs w:val="20"/>
              </w:rPr>
            </w:pPr>
            <w:r w:rsidRPr="00DF2BF5">
              <w:rPr>
                <w:color w:val="000000"/>
                <w:sz w:val="20"/>
                <w:szCs w:val="20"/>
              </w:rPr>
              <w:t> </w:t>
            </w:r>
          </w:p>
        </w:tc>
        <w:tc>
          <w:tcPr>
            <w:tcW w:w="1853" w:type="dxa"/>
            <w:tcBorders>
              <w:top w:val="single" w:sz="4" w:space="0" w:color="auto"/>
              <w:left w:val="nil"/>
              <w:bottom w:val="single" w:sz="4" w:space="0" w:color="auto"/>
              <w:right w:val="nil"/>
            </w:tcBorders>
            <w:shd w:val="clear" w:color="auto" w:fill="auto"/>
            <w:noWrap/>
            <w:vAlign w:val="bottom"/>
            <w:hideMark/>
          </w:tcPr>
          <w:p w:rsidR="00EB7592" w:rsidRPr="00DF2BF5" w:rsidRDefault="00EB7592" w:rsidP="004D2C0F">
            <w:pPr>
              <w:jc w:val="center"/>
              <w:rPr>
                <w:b/>
                <w:bCs/>
                <w:i/>
                <w:iCs/>
                <w:sz w:val="20"/>
                <w:szCs w:val="20"/>
              </w:rPr>
            </w:pPr>
            <w:r w:rsidRPr="00DF2BF5">
              <w:rPr>
                <w:b/>
                <w:bCs/>
                <w:i/>
                <w:iCs/>
                <w:sz w:val="20"/>
                <w:szCs w:val="20"/>
              </w:rPr>
              <w:t>2026</w:t>
            </w:r>
          </w:p>
        </w:tc>
        <w:tc>
          <w:tcPr>
            <w:tcW w:w="1394" w:type="dxa"/>
            <w:tcBorders>
              <w:top w:val="single" w:sz="8" w:space="0" w:color="auto"/>
              <w:left w:val="single" w:sz="8" w:space="0" w:color="auto"/>
              <w:bottom w:val="nil"/>
              <w:right w:val="single" w:sz="8" w:space="0" w:color="auto"/>
            </w:tcBorders>
            <w:shd w:val="clear" w:color="auto" w:fill="auto"/>
            <w:noWrap/>
            <w:vAlign w:val="bottom"/>
            <w:hideMark/>
          </w:tcPr>
          <w:p w:rsidR="00EB7592" w:rsidRPr="00DF2BF5" w:rsidRDefault="00EB7592" w:rsidP="004D2C0F">
            <w:pPr>
              <w:jc w:val="center"/>
              <w:rPr>
                <w:b/>
                <w:bCs/>
                <w:i/>
                <w:iCs/>
                <w:sz w:val="20"/>
                <w:szCs w:val="20"/>
              </w:rPr>
            </w:pPr>
            <w:r w:rsidRPr="00DF2BF5">
              <w:rPr>
                <w:b/>
                <w:bCs/>
                <w:i/>
                <w:iCs/>
                <w:sz w:val="20"/>
                <w:szCs w:val="20"/>
              </w:rPr>
              <w:t>ORANI</w:t>
            </w:r>
          </w:p>
        </w:tc>
      </w:tr>
      <w:tr w:rsidR="00EB7592" w:rsidRPr="00DF2BF5" w:rsidTr="004D2C0F">
        <w:trPr>
          <w:trHeight w:val="109"/>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1</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2</w:t>
            </w:r>
          </w:p>
        </w:tc>
        <w:tc>
          <w:tcPr>
            <w:tcW w:w="4311" w:type="dxa"/>
            <w:tcBorders>
              <w:top w:val="nil"/>
              <w:left w:val="nil"/>
              <w:bottom w:val="single" w:sz="4" w:space="0" w:color="auto"/>
              <w:right w:val="single" w:sz="4" w:space="0" w:color="auto"/>
            </w:tcBorders>
            <w:shd w:val="clear" w:color="FFFFCC" w:fill="FFFFFF"/>
            <w:vAlign w:val="center"/>
            <w:hideMark/>
          </w:tcPr>
          <w:p w:rsidR="00EB7592" w:rsidRPr="00DF2BF5" w:rsidRDefault="00EB7592" w:rsidP="004D2C0F">
            <w:pPr>
              <w:rPr>
                <w:b/>
                <w:bCs/>
                <w:color w:val="0000FF"/>
                <w:sz w:val="20"/>
                <w:szCs w:val="20"/>
              </w:rPr>
            </w:pPr>
            <w:r w:rsidRPr="00DF2BF5">
              <w:rPr>
                <w:b/>
                <w:bCs/>
                <w:color w:val="0000FF"/>
                <w:sz w:val="20"/>
                <w:szCs w:val="20"/>
              </w:rPr>
              <w:t>ÖZEL KALEM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196.686.073,64</w:t>
            </w:r>
          </w:p>
        </w:tc>
        <w:tc>
          <w:tcPr>
            <w:tcW w:w="1394" w:type="dxa"/>
            <w:tcBorders>
              <w:top w:val="single" w:sz="8" w:space="0" w:color="auto"/>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6,23%</w:t>
            </w:r>
          </w:p>
        </w:tc>
      </w:tr>
      <w:tr w:rsidR="00EB7592" w:rsidRPr="00DF2BF5" w:rsidTr="004D2C0F">
        <w:trPr>
          <w:trHeight w:val="151"/>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2</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5</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İNSAN KAYNAKLARI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38.286.899,20</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1,21%</w:t>
            </w:r>
          </w:p>
        </w:tc>
      </w:tr>
      <w:tr w:rsidR="00EB7592" w:rsidRPr="00DF2BF5" w:rsidTr="004D2C0F">
        <w:trPr>
          <w:trHeight w:val="330"/>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3</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18</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YAZI İŞLERİ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16.667.595,06</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0,53%</w:t>
            </w:r>
          </w:p>
        </w:tc>
      </w:tr>
      <w:tr w:rsidR="00EB7592" w:rsidRPr="00DF2BF5" w:rsidTr="004D2C0F">
        <w:trPr>
          <w:trHeight w:val="330"/>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4</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24</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HUKUK İŞLERİ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44.397.781,10</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1,41%</w:t>
            </w:r>
          </w:p>
        </w:tc>
      </w:tr>
      <w:tr w:rsidR="00EB7592" w:rsidRPr="00DF2BF5" w:rsidTr="004D2C0F">
        <w:trPr>
          <w:trHeight w:val="221"/>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5</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30</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DESTEK HİZMETLERİ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105.913.724,16</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3,36%</w:t>
            </w:r>
          </w:p>
        </w:tc>
      </w:tr>
      <w:tr w:rsidR="00EB7592" w:rsidRPr="00DF2BF5" w:rsidTr="004D2C0F">
        <w:trPr>
          <w:trHeight w:val="169"/>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6</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31</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FEN İŞLERİ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336.012.689,72</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10,65%</w:t>
            </w:r>
          </w:p>
        </w:tc>
      </w:tr>
      <w:tr w:rsidR="00EB7592" w:rsidRPr="00DF2BF5" w:rsidTr="004D2C0F">
        <w:trPr>
          <w:trHeight w:val="259"/>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7</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32</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İMAR VE ŞEHİRCİLİK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548.164.179,75</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17,37%</w:t>
            </w:r>
          </w:p>
        </w:tc>
      </w:tr>
      <w:tr w:rsidR="00EB7592" w:rsidRPr="00DF2BF5" w:rsidTr="004D2C0F">
        <w:trPr>
          <w:trHeight w:val="194"/>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8</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10</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BİLGİ İŞLEM MÜDÜRLÜĞÜ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15.420.014,85</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0,49%</w:t>
            </w:r>
          </w:p>
        </w:tc>
      </w:tr>
      <w:tr w:rsidR="00EB7592" w:rsidRPr="00DF2BF5" w:rsidTr="004D2C0F">
        <w:trPr>
          <w:trHeight w:val="70"/>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9</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34</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İTFAİYE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82.389.134,04</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2,61%</w:t>
            </w:r>
          </w:p>
        </w:tc>
      </w:tr>
      <w:tr w:rsidR="00EB7592" w:rsidRPr="00DF2BF5" w:rsidTr="004D2C0F">
        <w:trPr>
          <w:trHeight w:val="70"/>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10</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35</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KÜLTÜR VE SOSYAL İŞLER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48.782.486,92</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1,55%</w:t>
            </w:r>
          </w:p>
        </w:tc>
      </w:tr>
      <w:tr w:rsidR="00EB7592" w:rsidRPr="00DF2BF5" w:rsidTr="004D2C0F">
        <w:trPr>
          <w:trHeight w:val="77"/>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11</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36</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MALİ HİZMETLER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389.144.706,39</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12,33%</w:t>
            </w:r>
          </w:p>
        </w:tc>
      </w:tr>
      <w:tr w:rsidR="00EB7592" w:rsidRPr="00DF2BF5" w:rsidTr="004D2C0F">
        <w:trPr>
          <w:trHeight w:val="70"/>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12</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37</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PARKLAR VE BAHÇELER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255.105.134,82</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8,09%</w:t>
            </w:r>
          </w:p>
        </w:tc>
      </w:tr>
      <w:tr w:rsidR="00EB7592" w:rsidRPr="00DF2BF5" w:rsidTr="004D2C0F">
        <w:trPr>
          <w:trHeight w:val="70"/>
        </w:trPr>
        <w:tc>
          <w:tcPr>
            <w:tcW w:w="385" w:type="dxa"/>
            <w:tcBorders>
              <w:top w:val="single" w:sz="4" w:space="0" w:color="auto"/>
              <w:left w:val="single" w:sz="4" w:space="0" w:color="auto"/>
              <w:bottom w:val="single" w:sz="4" w:space="0" w:color="auto"/>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13</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45</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SU VE KANALİZASYON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266.400.712,60</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8,44%</w:t>
            </w:r>
          </w:p>
        </w:tc>
      </w:tr>
      <w:tr w:rsidR="00EB7592" w:rsidRPr="00DF2BF5" w:rsidTr="004D2C0F">
        <w:trPr>
          <w:trHeight w:val="330"/>
        </w:trPr>
        <w:tc>
          <w:tcPr>
            <w:tcW w:w="385" w:type="dxa"/>
            <w:tcBorders>
              <w:top w:val="single" w:sz="4" w:space="0" w:color="C0C0C0"/>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14</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38</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TEMİZLİK HİZMETLERİ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295.249.726,80</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9,36%</w:t>
            </w:r>
          </w:p>
        </w:tc>
      </w:tr>
      <w:tr w:rsidR="00EB7592" w:rsidRPr="00DF2BF5" w:rsidTr="004D2C0F">
        <w:trPr>
          <w:trHeight w:val="330"/>
        </w:trPr>
        <w:tc>
          <w:tcPr>
            <w:tcW w:w="385" w:type="dxa"/>
            <w:tcBorders>
              <w:top w:val="nil"/>
              <w:left w:val="single" w:sz="4" w:space="0" w:color="auto"/>
              <w:bottom w:val="single" w:sz="4" w:space="0" w:color="C0C0C0"/>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15</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39</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VETERİNER (KESİMEVİ) HİZMETLERİ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36.798.513,80</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1,17%</w:t>
            </w:r>
          </w:p>
        </w:tc>
      </w:tr>
      <w:tr w:rsidR="00EB7592" w:rsidRPr="00DF2BF5" w:rsidTr="004D2C0F">
        <w:trPr>
          <w:trHeight w:val="201"/>
        </w:trPr>
        <w:tc>
          <w:tcPr>
            <w:tcW w:w="385" w:type="dxa"/>
            <w:tcBorders>
              <w:top w:val="nil"/>
              <w:left w:val="single" w:sz="4" w:space="0" w:color="auto"/>
              <w:bottom w:val="nil"/>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16</w:t>
            </w:r>
          </w:p>
        </w:tc>
        <w:tc>
          <w:tcPr>
            <w:tcW w:w="385" w:type="dxa"/>
            <w:tcBorders>
              <w:top w:val="nil"/>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nil"/>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40</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ZABITA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106.856.121,60</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3,39%</w:t>
            </w:r>
          </w:p>
        </w:tc>
      </w:tr>
      <w:tr w:rsidR="00EB7592" w:rsidRPr="00DF2BF5" w:rsidTr="004D2C0F">
        <w:trPr>
          <w:trHeight w:val="106"/>
        </w:trPr>
        <w:tc>
          <w:tcPr>
            <w:tcW w:w="385" w:type="dxa"/>
            <w:tcBorders>
              <w:top w:val="single" w:sz="4" w:space="0" w:color="auto"/>
              <w:left w:val="single" w:sz="4" w:space="0" w:color="auto"/>
              <w:bottom w:val="nil"/>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17</w:t>
            </w:r>
          </w:p>
        </w:tc>
        <w:tc>
          <w:tcPr>
            <w:tcW w:w="385" w:type="dxa"/>
            <w:tcBorders>
              <w:top w:val="single" w:sz="4" w:space="0" w:color="auto"/>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single" w:sz="4" w:space="0" w:color="auto"/>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single" w:sz="4" w:space="0" w:color="auto"/>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single" w:sz="4" w:space="0" w:color="auto"/>
              <w:left w:val="nil"/>
              <w:bottom w:val="nil"/>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41</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TEFTİŞ KURULU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1.293.000,00</w:t>
            </w:r>
          </w:p>
        </w:tc>
        <w:tc>
          <w:tcPr>
            <w:tcW w:w="1394" w:type="dxa"/>
            <w:tcBorders>
              <w:top w:val="nil"/>
              <w:left w:val="nil"/>
              <w:bottom w:val="nil"/>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0,04%</w:t>
            </w:r>
          </w:p>
        </w:tc>
      </w:tr>
      <w:tr w:rsidR="00EB7592" w:rsidRPr="00DF2BF5" w:rsidTr="004D2C0F">
        <w:trPr>
          <w:trHeight w:val="330"/>
        </w:trPr>
        <w:tc>
          <w:tcPr>
            <w:tcW w:w="385" w:type="dxa"/>
            <w:tcBorders>
              <w:top w:val="single" w:sz="4" w:space="0" w:color="auto"/>
              <w:left w:val="single" w:sz="4" w:space="0" w:color="auto"/>
              <w:bottom w:val="single" w:sz="4" w:space="0" w:color="auto"/>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18</w:t>
            </w:r>
          </w:p>
        </w:tc>
        <w:tc>
          <w:tcPr>
            <w:tcW w:w="385" w:type="dxa"/>
            <w:tcBorders>
              <w:top w:val="single" w:sz="4" w:space="0" w:color="auto"/>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single" w:sz="4" w:space="0" w:color="auto"/>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single" w:sz="4" w:space="0" w:color="auto"/>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single" w:sz="4" w:space="0" w:color="auto"/>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43</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1313DD"/>
                <w:sz w:val="20"/>
                <w:szCs w:val="20"/>
              </w:rPr>
            </w:pPr>
            <w:r w:rsidRPr="00DF2BF5">
              <w:rPr>
                <w:b/>
                <w:bCs/>
                <w:color w:val="1313DD"/>
                <w:sz w:val="20"/>
                <w:szCs w:val="20"/>
              </w:rPr>
              <w:t>KENTSEL TASARIM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50.185.685,40</w:t>
            </w:r>
          </w:p>
        </w:tc>
        <w:tc>
          <w:tcPr>
            <w:tcW w:w="1394" w:type="dxa"/>
            <w:tcBorders>
              <w:top w:val="single" w:sz="4" w:space="0" w:color="auto"/>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1,59%</w:t>
            </w:r>
          </w:p>
        </w:tc>
      </w:tr>
      <w:tr w:rsidR="00EB7592" w:rsidRPr="00DF2BF5" w:rsidTr="004D2C0F">
        <w:trPr>
          <w:trHeight w:val="330"/>
        </w:trPr>
        <w:tc>
          <w:tcPr>
            <w:tcW w:w="385" w:type="dxa"/>
            <w:tcBorders>
              <w:top w:val="nil"/>
              <w:left w:val="single" w:sz="4" w:space="0" w:color="auto"/>
              <w:bottom w:val="single" w:sz="4" w:space="0" w:color="auto"/>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19</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44</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1313DD"/>
                <w:sz w:val="20"/>
                <w:szCs w:val="20"/>
              </w:rPr>
            </w:pPr>
            <w:r w:rsidRPr="00DF2BF5">
              <w:rPr>
                <w:b/>
                <w:bCs/>
                <w:color w:val="1313DD"/>
                <w:sz w:val="20"/>
                <w:szCs w:val="20"/>
              </w:rPr>
              <w:t>BASIN VE HALKLA İLİŞKİLER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27.650.775,10</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0,88%</w:t>
            </w:r>
          </w:p>
        </w:tc>
      </w:tr>
      <w:tr w:rsidR="00EB7592" w:rsidRPr="00DF2BF5" w:rsidTr="004D2C0F">
        <w:trPr>
          <w:trHeight w:val="330"/>
        </w:trPr>
        <w:tc>
          <w:tcPr>
            <w:tcW w:w="385" w:type="dxa"/>
            <w:tcBorders>
              <w:top w:val="nil"/>
              <w:left w:val="single" w:sz="4" w:space="0" w:color="auto"/>
              <w:bottom w:val="single" w:sz="4" w:space="0" w:color="auto"/>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20</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46</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İŞLETME ve İŞTİRAKLER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231.279.062,45</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7,33%</w:t>
            </w:r>
          </w:p>
        </w:tc>
      </w:tr>
      <w:tr w:rsidR="00EB7592" w:rsidRPr="00DF2BF5" w:rsidTr="004D2C0F">
        <w:trPr>
          <w:trHeight w:val="330"/>
        </w:trPr>
        <w:tc>
          <w:tcPr>
            <w:tcW w:w="385" w:type="dxa"/>
            <w:tcBorders>
              <w:top w:val="nil"/>
              <w:left w:val="single" w:sz="4" w:space="0" w:color="auto"/>
              <w:bottom w:val="nil"/>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21</w:t>
            </w:r>
          </w:p>
        </w:tc>
        <w:tc>
          <w:tcPr>
            <w:tcW w:w="385" w:type="dxa"/>
            <w:tcBorders>
              <w:top w:val="nil"/>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nil"/>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47</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ETÜT PROJE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22.889.935,20</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0,73%</w:t>
            </w:r>
          </w:p>
        </w:tc>
      </w:tr>
      <w:tr w:rsidR="00EB7592" w:rsidRPr="00DF2BF5" w:rsidTr="004D2C0F">
        <w:trPr>
          <w:trHeight w:val="330"/>
        </w:trPr>
        <w:tc>
          <w:tcPr>
            <w:tcW w:w="385" w:type="dxa"/>
            <w:tcBorders>
              <w:top w:val="single" w:sz="4" w:space="0" w:color="auto"/>
              <w:left w:val="single" w:sz="4" w:space="0" w:color="auto"/>
              <w:bottom w:val="nil"/>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22</w:t>
            </w:r>
          </w:p>
        </w:tc>
        <w:tc>
          <w:tcPr>
            <w:tcW w:w="385" w:type="dxa"/>
            <w:tcBorders>
              <w:top w:val="single" w:sz="4" w:space="0" w:color="auto"/>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single" w:sz="4" w:space="0" w:color="auto"/>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single" w:sz="4" w:space="0" w:color="auto"/>
              <w:left w:val="nil"/>
              <w:bottom w:val="nil"/>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single" w:sz="4" w:space="0" w:color="auto"/>
              <w:left w:val="nil"/>
              <w:bottom w:val="nil"/>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48</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MUHTARLIK İŞLERİ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7.372.608,50</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0,23%</w:t>
            </w:r>
          </w:p>
        </w:tc>
      </w:tr>
      <w:tr w:rsidR="00EB7592" w:rsidRPr="00DF2BF5" w:rsidTr="004D2C0F">
        <w:trPr>
          <w:trHeight w:val="330"/>
        </w:trPr>
        <w:tc>
          <w:tcPr>
            <w:tcW w:w="385" w:type="dxa"/>
            <w:tcBorders>
              <w:top w:val="single" w:sz="4" w:space="0" w:color="auto"/>
              <w:left w:val="single" w:sz="4" w:space="0" w:color="auto"/>
              <w:bottom w:val="single" w:sz="4" w:space="0" w:color="auto"/>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23</w:t>
            </w:r>
          </w:p>
        </w:tc>
        <w:tc>
          <w:tcPr>
            <w:tcW w:w="385" w:type="dxa"/>
            <w:tcBorders>
              <w:top w:val="single" w:sz="4" w:space="0" w:color="auto"/>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single" w:sz="4" w:space="0" w:color="auto"/>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single" w:sz="4" w:space="0" w:color="auto"/>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single" w:sz="4" w:space="0" w:color="auto"/>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49</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MEZARLIKLAR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color w:val="000000"/>
                <w:sz w:val="20"/>
                <w:szCs w:val="20"/>
              </w:rPr>
            </w:pPr>
            <w:r w:rsidRPr="00DF2BF5">
              <w:rPr>
                <w:b/>
                <w:bCs/>
                <w:color w:val="000000"/>
                <w:sz w:val="20"/>
                <w:szCs w:val="20"/>
              </w:rPr>
              <w:t>28.585.885,90</w:t>
            </w:r>
          </w:p>
        </w:tc>
        <w:tc>
          <w:tcPr>
            <w:tcW w:w="1394" w:type="dxa"/>
            <w:tcBorders>
              <w:top w:val="nil"/>
              <w:left w:val="nil"/>
              <w:bottom w:val="single" w:sz="4" w:space="0" w:color="auto"/>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0,91%</w:t>
            </w:r>
          </w:p>
        </w:tc>
      </w:tr>
      <w:tr w:rsidR="00EB7592" w:rsidRPr="00DF2BF5" w:rsidTr="004D2C0F">
        <w:trPr>
          <w:trHeight w:val="330"/>
        </w:trPr>
        <w:tc>
          <w:tcPr>
            <w:tcW w:w="385" w:type="dxa"/>
            <w:tcBorders>
              <w:top w:val="nil"/>
              <w:left w:val="single" w:sz="4" w:space="0" w:color="auto"/>
              <w:bottom w:val="single" w:sz="4" w:space="0" w:color="auto"/>
              <w:right w:val="single" w:sz="4" w:space="0" w:color="auto"/>
            </w:tcBorders>
            <w:shd w:val="clear" w:color="CCFFFF" w:fill="CCFFFF"/>
            <w:noWrap/>
            <w:vAlign w:val="center"/>
            <w:hideMark/>
          </w:tcPr>
          <w:p w:rsidR="00EB7592" w:rsidRPr="00DF2BF5" w:rsidRDefault="00EB7592" w:rsidP="004D2C0F">
            <w:pPr>
              <w:jc w:val="right"/>
              <w:rPr>
                <w:b/>
                <w:bCs/>
                <w:sz w:val="20"/>
                <w:szCs w:val="20"/>
              </w:rPr>
            </w:pPr>
            <w:r w:rsidRPr="00DF2BF5">
              <w:rPr>
                <w:b/>
                <w:bCs/>
                <w:sz w:val="20"/>
                <w:szCs w:val="20"/>
              </w:rPr>
              <w:t>24</w:t>
            </w:r>
          </w:p>
        </w:tc>
        <w:tc>
          <w:tcPr>
            <w:tcW w:w="385"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393"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sz w:val="20"/>
                <w:szCs w:val="20"/>
              </w:rPr>
            </w:pPr>
            <w:r w:rsidRPr="00DF2BF5">
              <w:rPr>
                <w:sz w:val="20"/>
                <w:szCs w:val="20"/>
              </w:rPr>
              <w:t> </w:t>
            </w:r>
          </w:p>
        </w:tc>
        <w:tc>
          <w:tcPr>
            <w:tcW w:w="452" w:type="dxa"/>
            <w:tcBorders>
              <w:top w:val="nil"/>
              <w:left w:val="nil"/>
              <w:bottom w:val="single" w:sz="4" w:space="0" w:color="auto"/>
              <w:right w:val="single" w:sz="4" w:space="0" w:color="auto"/>
            </w:tcBorders>
            <w:shd w:val="clear" w:color="CCFFFF" w:fill="CCFFFF"/>
            <w:noWrap/>
            <w:vAlign w:val="bottom"/>
            <w:hideMark/>
          </w:tcPr>
          <w:p w:rsidR="00EB7592" w:rsidRPr="00DF2BF5" w:rsidRDefault="00EB7592" w:rsidP="004D2C0F">
            <w:pPr>
              <w:rPr>
                <w:b/>
                <w:bCs/>
                <w:sz w:val="20"/>
                <w:szCs w:val="20"/>
              </w:rPr>
            </w:pPr>
            <w:r w:rsidRPr="00DF2BF5">
              <w:rPr>
                <w:b/>
                <w:bCs/>
                <w:sz w:val="20"/>
                <w:szCs w:val="20"/>
              </w:rPr>
              <w:t>50</w:t>
            </w:r>
          </w:p>
        </w:tc>
        <w:tc>
          <w:tcPr>
            <w:tcW w:w="4311" w:type="dxa"/>
            <w:tcBorders>
              <w:top w:val="nil"/>
              <w:left w:val="nil"/>
              <w:bottom w:val="single" w:sz="4" w:space="0" w:color="auto"/>
              <w:right w:val="single" w:sz="4" w:space="0" w:color="auto"/>
            </w:tcBorders>
            <w:shd w:val="clear" w:color="FFFFCC" w:fill="FFFFFF"/>
            <w:noWrap/>
            <w:vAlign w:val="center"/>
            <w:hideMark/>
          </w:tcPr>
          <w:p w:rsidR="00EB7592" w:rsidRPr="00DF2BF5" w:rsidRDefault="00EB7592" w:rsidP="004D2C0F">
            <w:pPr>
              <w:rPr>
                <w:b/>
                <w:bCs/>
                <w:color w:val="0000FF"/>
                <w:sz w:val="20"/>
                <w:szCs w:val="20"/>
              </w:rPr>
            </w:pPr>
            <w:r w:rsidRPr="00DF2BF5">
              <w:rPr>
                <w:b/>
                <w:bCs/>
                <w:color w:val="0000FF"/>
                <w:sz w:val="20"/>
                <w:szCs w:val="20"/>
              </w:rPr>
              <w:t>İKLİM DEĞİŞİKLİĞİ VE SIFIR ATIK MD.</w:t>
            </w:r>
          </w:p>
        </w:tc>
        <w:tc>
          <w:tcPr>
            <w:tcW w:w="1853" w:type="dxa"/>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3.467.553,00</w:t>
            </w:r>
          </w:p>
        </w:tc>
        <w:tc>
          <w:tcPr>
            <w:tcW w:w="1394" w:type="dxa"/>
            <w:tcBorders>
              <w:top w:val="nil"/>
              <w:left w:val="nil"/>
              <w:bottom w:val="nil"/>
              <w:right w:val="single" w:sz="8" w:space="0" w:color="auto"/>
            </w:tcBorders>
            <w:shd w:val="clear" w:color="auto" w:fill="auto"/>
            <w:noWrap/>
            <w:vAlign w:val="bottom"/>
            <w:hideMark/>
          </w:tcPr>
          <w:p w:rsidR="00EB7592" w:rsidRPr="00DF2BF5" w:rsidRDefault="00EB7592" w:rsidP="004D2C0F">
            <w:pPr>
              <w:rPr>
                <w:b/>
                <w:bCs/>
                <w:color w:val="0000FF"/>
                <w:sz w:val="20"/>
                <w:szCs w:val="20"/>
              </w:rPr>
            </w:pPr>
            <w:r w:rsidRPr="00DF2BF5">
              <w:rPr>
                <w:b/>
                <w:bCs/>
                <w:color w:val="0000FF"/>
                <w:sz w:val="20"/>
                <w:szCs w:val="20"/>
              </w:rPr>
              <w:t>0,11%</w:t>
            </w:r>
          </w:p>
        </w:tc>
      </w:tr>
      <w:tr w:rsidR="00EB7592" w:rsidRPr="00DF2BF5" w:rsidTr="004D2C0F">
        <w:trPr>
          <w:trHeight w:val="450"/>
        </w:trPr>
        <w:tc>
          <w:tcPr>
            <w:tcW w:w="385" w:type="dxa"/>
            <w:tcBorders>
              <w:top w:val="nil"/>
              <w:left w:val="nil"/>
              <w:bottom w:val="nil"/>
              <w:right w:val="nil"/>
            </w:tcBorders>
            <w:shd w:val="clear" w:color="auto" w:fill="auto"/>
            <w:noWrap/>
            <w:vAlign w:val="bottom"/>
            <w:hideMark/>
          </w:tcPr>
          <w:p w:rsidR="00EB7592" w:rsidRPr="00DF2BF5" w:rsidRDefault="00EB7592" w:rsidP="004D2C0F">
            <w:pPr>
              <w:rPr>
                <w:b/>
                <w:bCs/>
              </w:rPr>
            </w:pPr>
          </w:p>
        </w:tc>
        <w:tc>
          <w:tcPr>
            <w:tcW w:w="385" w:type="dxa"/>
            <w:tcBorders>
              <w:top w:val="nil"/>
              <w:left w:val="nil"/>
              <w:bottom w:val="nil"/>
              <w:right w:val="nil"/>
            </w:tcBorders>
            <w:shd w:val="clear" w:color="auto" w:fill="auto"/>
            <w:noWrap/>
            <w:vAlign w:val="bottom"/>
            <w:hideMark/>
          </w:tcPr>
          <w:p w:rsidR="00EB7592" w:rsidRPr="00DF2BF5" w:rsidRDefault="00EB7592" w:rsidP="004D2C0F">
            <w:pPr>
              <w:rPr>
                <w:b/>
                <w:bCs/>
              </w:rPr>
            </w:pPr>
          </w:p>
        </w:tc>
        <w:tc>
          <w:tcPr>
            <w:tcW w:w="393" w:type="dxa"/>
            <w:tcBorders>
              <w:top w:val="nil"/>
              <w:left w:val="nil"/>
              <w:bottom w:val="nil"/>
              <w:right w:val="nil"/>
            </w:tcBorders>
            <w:shd w:val="clear" w:color="auto" w:fill="auto"/>
            <w:noWrap/>
            <w:vAlign w:val="bottom"/>
            <w:hideMark/>
          </w:tcPr>
          <w:p w:rsidR="00EB7592" w:rsidRPr="00DF2BF5" w:rsidRDefault="00EB7592" w:rsidP="004D2C0F">
            <w:pPr>
              <w:rPr>
                <w:b/>
                <w:bCs/>
              </w:rPr>
            </w:pPr>
          </w:p>
        </w:tc>
        <w:tc>
          <w:tcPr>
            <w:tcW w:w="393" w:type="dxa"/>
            <w:tcBorders>
              <w:top w:val="nil"/>
              <w:left w:val="nil"/>
              <w:bottom w:val="nil"/>
              <w:right w:val="nil"/>
            </w:tcBorders>
            <w:shd w:val="clear" w:color="auto" w:fill="auto"/>
            <w:noWrap/>
            <w:vAlign w:val="bottom"/>
            <w:hideMark/>
          </w:tcPr>
          <w:p w:rsidR="00EB7592" w:rsidRPr="00DF2BF5" w:rsidRDefault="00EB7592" w:rsidP="004D2C0F">
            <w:pPr>
              <w:rPr>
                <w:b/>
                <w:bCs/>
              </w:rPr>
            </w:pPr>
          </w:p>
        </w:tc>
        <w:tc>
          <w:tcPr>
            <w:tcW w:w="452" w:type="dxa"/>
            <w:tcBorders>
              <w:top w:val="nil"/>
              <w:left w:val="nil"/>
              <w:bottom w:val="nil"/>
              <w:right w:val="nil"/>
            </w:tcBorders>
            <w:shd w:val="clear" w:color="auto" w:fill="auto"/>
            <w:noWrap/>
            <w:vAlign w:val="bottom"/>
            <w:hideMark/>
          </w:tcPr>
          <w:p w:rsidR="00EB7592" w:rsidRPr="00DF2BF5" w:rsidRDefault="00EB7592" w:rsidP="004D2C0F">
            <w:pPr>
              <w:rPr>
                <w:b/>
                <w:bCs/>
              </w:rPr>
            </w:pPr>
          </w:p>
        </w:tc>
        <w:tc>
          <w:tcPr>
            <w:tcW w:w="4311" w:type="dxa"/>
            <w:tcBorders>
              <w:top w:val="nil"/>
              <w:left w:val="single" w:sz="4" w:space="0" w:color="auto"/>
              <w:bottom w:val="single" w:sz="4" w:space="0" w:color="auto"/>
              <w:right w:val="single" w:sz="4" w:space="0" w:color="auto"/>
            </w:tcBorders>
            <w:shd w:val="clear" w:color="auto" w:fill="auto"/>
            <w:noWrap/>
            <w:vAlign w:val="bottom"/>
            <w:hideMark/>
          </w:tcPr>
          <w:p w:rsidR="00EB7592" w:rsidRPr="00DF2BF5" w:rsidRDefault="00EB7592" w:rsidP="004D2C0F">
            <w:pPr>
              <w:jc w:val="center"/>
              <w:rPr>
                <w:b/>
                <w:bCs/>
              </w:rPr>
            </w:pPr>
            <w:r w:rsidRPr="00DF2BF5">
              <w:rPr>
                <w:b/>
                <w:bCs/>
              </w:rPr>
              <w:t>TOPLAM</w:t>
            </w:r>
          </w:p>
        </w:tc>
        <w:tc>
          <w:tcPr>
            <w:tcW w:w="1853" w:type="dxa"/>
            <w:tcBorders>
              <w:top w:val="nil"/>
              <w:left w:val="nil"/>
              <w:bottom w:val="single" w:sz="4" w:space="0" w:color="auto"/>
              <w:right w:val="nil"/>
            </w:tcBorders>
            <w:shd w:val="clear" w:color="auto" w:fill="auto"/>
            <w:noWrap/>
            <w:vAlign w:val="bottom"/>
            <w:hideMark/>
          </w:tcPr>
          <w:p w:rsidR="00EB7592" w:rsidRPr="00DF2BF5" w:rsidRDefault="00EB7592" w:rsidP="004D2C0F">
            <w:pPr>
              <w:rPr>
                <w:b/>
                <w:bCs/>
              </w:rPr>
            </w:pPr>
            <w:r w:rsidRPr="00DF2BF5">
              <w:rPr>
                <w:b/>
                <w:bCs/>
              </w:rPr>
              <w:t>3.155.000.000,00</w:t>
            </w:r>
          </w:p>
        </w:tc>
        <w:tc>
          <w:tcPr>
            <w:tcW w:w="1394" w:type="dxa"/>
            <w:tcBorders>
              <w:top w:val="nil"/>
              <w:left w:val="single" w:sz="8" w:space="0" w:color="auto"/>
              <w:bottom w:val="single" w:sz="8" w:space="0" w:color="auto"/>
              <w:right w:val="single" w:sz="8" w:space="0" w:color="auto"/>
            </w:tcBorders>
            <w:shd w:val="clear" w:color="auto" w:fill="auto"/>
            <w:noWrap/>
            <w:vAlign w:val="bottom"/>
            <w:hideMark/>
          </w:tcPr>
          <w:p w:rsidR="00EB7592" w:rsidRPr="00DF2BF5" w:rsidRDefault="00EB7592" w:rsidP="004D2C0F">
            <w:pPr>
              <w:rPr>
                <w:b/>
                <w:bCs/>
                <w:color w:val="0000FF"/>
              </w:rPr>
            </w:pPr>
            <w:r w:rsidRPr="00DF2BF5">
              <w:rPr>
                <w:b/>
                <w:bCs/>
                <w:color w:val="0000FF"/>
              </w:rPr>
              <w:t>100,00%</w:t>
            </w:r>
          </w:p>
        </w:tc>
      </w:tr>
    </w:tbl>
    <w:p w:rsidR="00EB7592" w:rsidRPr="00DF2BF5" w:rsidRDefault="00EB7592" w:rsidP="00EB7592">
      <w:pPr>
        <w:jc w:val="both"/>
        <w:rPr>
          <w:b/>
        </w:rPr>
      </w:pPr>
    </w:p>
    <w:p w:rsidR="00EB7592" w:rsidRDefault="00EB7592" w:rsidP="00EB7592">
      <w:pPr>
        <w:jc w:val="both"/>
        <w:rPr>
          <w:b/>
        </w:rPr>
      </w:pPr>
    </w:p>
    <w:p w:rsidR="00EB7592" w:rsidRDefault="00EB7592" w:rsidP="00EB7592">
      <w:pPr>
        <w:jc w:val="both"/>
        <w:rPr>
          <w:b/>
        </w:rPr>
      </w:pPr>
      <w:r>
        <w:rPr>
          <w:b/>
        </w:rPr>
        <w:lastRenderedPageBreak/>
        <w:t xml:space="preserve">Toplam </w:t>
      </w:r>
      <w:r>
        <w:rPr>
          <w:b/>
          <w:color w:val="FF0000"/>
          <w:u w:val="single"/>
        </w:rPr>
        <w:t>üçmilyaryüzellibeşmilyon</w:t>
      </w:r>
      <w:r>
        <w:rPr>
          <w:b/>
        </w:rPr>
        <w:t xml:space="preserve"> TL Olarak ön görüldüğü;</w:t>
      </w:r>
    </w:p>
    <w:p w:rsidR="00EB7592" w:rsidRDefault="00EB7592" w:rsidP="00EB7592">
      <w:pPr>
        <w:jc w:val="both"/>
        <w:rPr>
          <w:b/>
        </w:rPr>
      </w:pPr>
      <w:r>
        <w:rPr>
          <w:b/>
        </w:rPr>
        <w:t>C-) 2026 Mali Yılı Gelir Bütçesi Ekonomik Sınıflandırılması;</w:t>
      </w:r>
    </w:p>
    <w:p w:rsidR="00EB7592" w:rsidRDefault="00EB7592" w:rsidP="00EB7592">
      <w:pPr>
        <w:jc w:val="both"/>
        <w:rPr>
          <w:b/>
        </w:rPr>
      </w:pPr>
    </w:p>
    <w:tbl>
      <w:tblPr>
        <w:tblW w:w="5244" w:type="pct"/>
        <w:tblLayout w:type="fixed"/>
        <w:tblCellMar>
          <w:left w:w="70" w:type="dxa"/>
          <w:right w:w="70" w:type="dxa"/>
        </w:tblCellMar>
        <w:tblLook w:val="04A0"/>
      </w:tblPr>
      <w:tblGrid>
        <w:gridCol w:w="598"/>
        <w:gridCol w:w="1901"/>
        <w:gridCol w:w="1486"/>
        <w:gridCol w:w="947"/>
        <w:gridCol w:w="1351"/>
        <w:gridCol w:w="1621"/>
        <w:gridCol w:w="1758"/>
      </w:tblGrid>
      <w:tr w:rsidR="00EB7592" w:rsidRPr="00A22EA5" w:rsidTr="004D2C0F">
        <w:trPr>
          <w:trHeight w:val="525"/>
        </w:trPr>
        <w:tc>
          <w:tcPr>
            <w:tcW w:w="5000" w:type="pct"/>
            <w:gridSpan w:val="7"/>
            <w:tcBorders>
              <w:top w:val="single" w:sz="8" w:space="0" w:color="auto"/>
              <w:left w:val="single" w:sz="8" w:space="0" w:color="auto"/>
              <w:bottom w:val="single" w:sz="4" w:space="0" w:color="auto"/>
              <w:right w:val="single" w:sz="4" w:space="0" w:color="auto"/>
            </w:tcBorders>
            <w:shd w:val="clear" w:color="000000" w:fill="E6B9B8"/>
            <w:vAlign w:val="center"/>
            <w:hideMark/>
          </w:tcPr>
          <w:p w:rsidR="00EB7592" w:rsidRPr="00A22EA5" w:rsidRDefault="00EB7592" w:rsidP="004D2C0F">
            <w:pPr>
              <w:jc w:val="center"/>
              <w:rPr>
                <w:rFonts w:ascii="Arial TUR" w:hAnsi="Arial TUR" w:cs="Arial TUR"/>
                <w:b/>
                <w:bCs/>
              </w:rPr>
            </w:pPr>
            <w:r w:rsidRPr="00A22EA5">
              <w:rPr>
                <w:rFonts w:ascii="Arial TUR" w:hAnsi="Arial TUR" w:cs="Arial TUR"/>
                <w:b/>
                <w:bCs/>
                <w:sz w:val="22"/>
                <w:szCs w:val="22"/>
              </w:rPr>
              <w:t>GELİRİN EKONOMİK SINIFLANDIRILMASI</w:t>
            </w:r>
          </w:p>
        </w:tc>
      </w:tr>
      <w:tr w:rsidR="00EB7592" w:rsidRPr="00A22EA5" w:rsidTr="004D2C0F">
        <w:trPr>
          <w:trHeight w:val="615"/>
        </w:trPr>
        <w:tc>
          <w:tcPr>
            <w:tcW w:w="309" w:type="pct"/>
            <w:tcBorders>
              <w:top w:val="nil"/>
              <w:left w:val="single" w:sz="8" w:space="0" w:color="auto"/>
              <w:bottom w:val="single" w:sz="4" w:space="0" w:color="auto"/>
              <w:right w:val="single" w:sz="4" w:space="0" w:color="auto"/>
            </w:tcBorders>
            <w:shd w:val="clear" w:color="auto" w:fill="auto"/>
            <w:vAlign w:val="center"/>
            <w:hideMark/>
          </w:tcPr>
          <w:p w:rsidR="00EB7592" w:rsidRPr="00DF2BF5" w:rsidRDefault="00EB7592" w:rsidP="004D2C0F">
            <w:pPr>
              <w:jc w:val="center"/>
              <w:rPr>
                <w:b/>
                <w:bCs/>
                <w:sz w:val="20"/>
                <w:szCs w:val="20"/>
              </w:rPr>
            </w:pPr>
            <w:r w:rsidRPr="00DF2BF5">
              <w:rPr>
                <w:b/>
                <w:bCs/>
                <w:sz w:val="20"/>
                <w:szCs w:val="20"/>
              </w:rPr>
              <w:t>GELİR KODU</w:t>
            </w:r>
          </w:p>
        </w:tc>
        <w:tc>
          <w:tcPr>
            <w:tcW w:w="984"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center"/>
              <w:rPr>
                <w:b/>
                <w:bCs/>
                <w:sz w:val="20"/>
                <w:szCs w:val="20"/>
              </w:rPr>
            </w:pPr>
            <w:r w:rsidRPr="00DF2BF5">
              <w:rPr>
                <w:b/>
                <w:bCs/>
                <w:sz w:val="20"/>
                <w:szCs w:val="20"/>
              </w:rPr>
              <w:t>GELİRİN AÇIKLAMASI</w:t>
            </w:r>
          </w:p>
        </w:tc>
        <w:tc>
          <w:tcPr>
            <w:tcW w:w="76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center"/>
              <w:rPr>
                <w:b/>
                <w:bCs/>
                <w:sz w:val="20"/>
                <w:szCs w:val="20"/>
              </w:rPr>
            </w:pPr>
            <w:r w:rsidRPr="00DF2BF5">
              <w:rPr>
                <w:b/>
                <w:bCs/>
                <w:sz w:val="20"/>
                <w:szCs w:val="20"/>
              </w:rPr>
              <w:t>2026</w:t>
            </w:r>
          </w:p>
        </w:tc>
        <w:tc>
          <w:tcPr>
            <w:tcW w:w="490" w:type="pct"/>
            <w:tcBorders>
              <w:top w:val="nil"/>
              <w:left w:val="nil"/>
              <w:bottom w:val="single" w:sz="4" w:space="0" w:color="auto"/>
              <w:right w:val="single" w:sz="4" w:space="0" w:color="auto"/>
            </w:tcBorders>
            <w:shd w:val="clear" w:color="auto" w:fill="auto"/>
            <w:vAlign w:val="center"/>
            <w:hideMark/>
          </w:tcPr>
          <w:p w:rsidR="00EB7592" w:rsidRPr="00DF2BF5" w:rsidRDefault="00EB7592" w:rsidP="004D2C0F">
            <w:pPr>
              <w:jc w:val="center"/>
              <w:rPr>
                <w:b/>
                <w:bCs/>
                <w:sz w:val="20"/>
                <w:szCs w:val="20"/>
              </w:rPr>
            </w:pPr>
            <w:r w:rsidRPr="00DF2BF5">
              <w:rPr>
                <w:b/>
                <w:bCs/>
                <w:sz w:val="20"/>
                <w:szCs w:val="20"/>
              </w:rPr>
              <w:t>BÜTÇE İÇİ PAYI</w:t>
            </w:r>
          </w:p>
        </w:tc>
        <w:tc>
          <w:tcPr>
            <w:tcW w:w="69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center"/>
              <w:rPr>
                <w:b/>
                <w:bCs/>
                <w:sz w:val="20"/>
                <w:szCs w:val="20"/>
              </w:rPr>
            </w:pPr>
            <w:r w:rsidRPr="00DF2BF5">
              <w:rPr>
                <w:b/>
                <w:bCs/>
                <w:sz w:val="20"/>
                <w:szCs w:val="20"/>
              </w:rPr>
              <w:t>2023</w:t>
            </w:r>
          </w:p>
        </w:tc>
        <w:tc>
          <w:tcPr>
            <w:tcW w:w="839" w:type="pct"/>
            <w:tcBorders>
              <w:top w:val="nil"/>
              <w:left w:val="nil"/>
              <w:bottom w:val="single" w:sz="4" w:space="0" w:color="auto"/>
              <w:right w:val="single" w:sz="8" w:space="0" w:color="auto"/>
            </w:tcBorders>
            <w:shd w:val="clear" w:color="auto" w:fill="auto"/>
            <w:vAlign w:val="center"/>
            <w:hideMark/>
          </w:tcPr>
          <w:p w:rsidR="00EB7592" w:rsidRPr="00DF2BF5" w:rsidRDefault="00EB7592" w:rsidP="004D2C0F">
            <w:pPr>
              <w:jc w:val="center"/>
              <w:rPr>
                <w:b/>
                <w:bCs/>
                <w:color w:val="000000"/>
                <w:sz w:val="20"/>
                <w:szCs w:val="20"/>
              </w:rPr>
            </w:pPr>
            <w:r w:rsidRPr="00DF2BF5">
              <w:rPr>
                <w:b/>
                <w:bCs/>
                <w:color w:val="000000"/>
                <w:sz w:val="20"/>
                <w:szCs w:val="20"/>
              </w:rPr>
              <w:t>2024</w:t>
            </w:r>
          </w:p>
        </w:tc>
        <w:tc>
          <w:tcPr>
            <w:tcW w:w="910" w:type="pct"/>
            <w:tcBorders>
              <w:top w:val="nil"/>
              <w:left w:val="nil"/>
              <w:bottom w:val="nil"/>
              <w:right w:val="single" w:sz="4" w:space="0" w:color="auto"/>
            </w:tcBorders>
            <w:shd w:val="clear" w:color="auto" w:fill="auto"/>
            <w:vAlign w:val="center"/>
            <w:hideMark/>
          </w:tcPr>
          <w:p w:rsidR="00EB7592" w:rsidRPr="00DF2BF5" w:rsidRDefault="00EB7592" w:rsidP="004D2C0F">
            <w:pPr>
              <w:jc w:val="center"/>
              <w:rPr>
                <w:b/>
                <w:bCs/>
                <w:color w:val="000000"/>
                <w:sz w:val="20"/>
                <w:szCs w:val="20"/>
              </w:rPr>
            </w:pPr>
            <w:r w:rsidRPr="00DF2BF5">
              <w:rPr>
                <w:b/>
                <w:bCs/>
                <w:color w:val="000000"/>
                <w:sz w:val="20"/>
                <w:szCs w:val="20"/>
              </w:rPr>
              <w:t>2025 BÜTÇE TAHMİNİ</w:t>
            </w:r>
          </w:p>
        </w:tc>
      </w:tr>
      <w:tr w:rsidR="00EB7592" w:rsidRPr="00A22EA5" w:rsidTr="004D2C0F">
        <w:trPr>
          <w:trHeight w:val="495"/>
        </w:trPr>
        <w:tc>
          <w:tcPr>
            <w:tcW w:w="309" w:type="pct"/>
            <w:tcBorders>
              <w:top w:val="nil"/>
              <w:left w:val="single" w:sz="8" w:space="0" w:color="auto"/>
              <w:bottom w:val="single" w:sz="4" w:space="0" w:color="auto"/>
              <w:right w:val="single" w:sz="4" w:space="0" w:color="auto"/>
            </w:tcBorders>
            <w:shd w:val="clear" w:color="auto" w:fill="auto"/>
            <w:vAlign w:val="center"/>
            <w:hideMark/>
          </w:tcPr>
          <w:p w:rsidR="00EB7592" w:rsidRPr="00DF2BF5" w:rsidRDefault="00EB7592" w:rsidP="004D2C0F">
            <w:pPr>
              <w:jc w:val="center"/>
              <w:rPr>
                <w:b/>
                <w:bCs/>
                <w:sz w:val="20"/>
                <w:szCs w:val="20"/>
              </w:rPr>
            </w:pPr>
            <w:r w:rsidRPr="00DF2BF5">
              <w:rPr>
                <w:b/>
                <w:bCs/>
                <w:sz w:val="20"/>
                <w:szCs w:val="20"/>
              </w:rPr>
              <w:t>1</w:t>
            </w:r>
          </w:p>
        </w:tc>
        <w:tc>
          <w:tcPr>
            <w:tcW w:w="984"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rPr>
                <w:b/>
                <w:bCs/>
                <w:color w:val="000000"/>
                <w:sz w:val="20"/>
                <w:szCs w:val="20"/>
              </w:rPr>
            </w:pPr>
            <w:r w:rsidRPr="00DF2BF5">
              <w:rPr>
                <w:b/>
                <w:bCs/>
                <w:color w:val="000000"/>
                <w:sz w:val="20"/>
                <w:szCs w:val="20"/>
              </w:rPr>
              <w:t>Vergi Gelirleri</w:t>
            </w:r>
          </w:p>
        </w:tc>
        <w:tc>
          <w:tcPr>
            <w:tcW w:w="76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167.446.832,42</w:t>
            </w:r>
          </w:p>
        </w:tc>
        <w:tc>
          <w:tcPr>
            <w:tcW w:w="490"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5,31%</w:t>
            </w:r>
          </w:p>
        </w:tc>
        <w:tc>
          <w:tcPr>
            <w:tcW w:w="69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61.544.094,05</w:t>
            </w:r>
          </w:p>
        </w:tc>
        <w:tc>
          <w:tcPr>
            <w:tcW w:w="83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116.933.768,00</w:t>
            </w:r>
          </w:p>
        </w:tc>
        <w:tc>
          <w:tcPr>
            <w:tcW w:w="910" w:type="pct"/>
            <w:tcBorders>
              <w:top w:val="single" w:sz="4" w:space="0" w:color="auto"/>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152.224.393,11</w:t>
            </w:r>
          </w:p>
        </w:tc>
      </w:tr>
      <w:tr w:rsidR="00EB7592" w:rsidRPr="00A22EA5" w:rsidTr="004D2C0F">
        <w:trPr>
          <w:trHeight w:val="540"/>
        </w:trPr>
        <w:tc>
          <w:tcPr>
            <w:tcW w:w="309" w:type="pct"/>
            <w:tcBorders>
              <w:top w:val="nil"/>
              <w:left w:val="single" w:sz="8" w:space="0" w:color="auto"/>
              <w:bottom w:val="single" w:sz="4" w:space="0" w:color="auto"/>
              <w:right w:val="single" w:sz="4" w:space="0" w:color="auto"/>
            </w:tcBorders>
            <w:shd w:val="clear" w:color="auto" w:fill="auto"/>
            <w:vAlign w:val="center"/>
            <w:hideMark/>
          </w:tcPr>
          <w:p w:rsidR="00EB7592" w:rsidRPr="00DF2BF5" w:rsidRDefault="00EB7592" w:rsidP="004D2C0F">
            <w:pPr>
              <w:jc w:val="center"/>
              <w:rPr>
                <w:b/>
                <w:bCs/>
                <w:sz w:val="20"/>
                <w:szCs w:val="20"/>
              </w:rPr>
            </w:pPr>
            <w:r w:rsidRPr="00DF2BF5">
              <w:rPr>
                <w:b/>
                <w:bCs/>
                <w:sz w:val="20"/>
                <w:szCs w:val="20"/>
              </w:rPr>
              <w:t>3</w:t>
            </w:r>
          </w:p>
        </w:tc>
        <w:tc>
          <w:tcPr>
            <w:tcW w:w="984"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rPr>
                <w:color w:val="000000"/>
                <w:sz w:val="20"/>
                <w:szCs w:val="20"/>
              </w:rPr>
            </w:pPr>
            <w:r w:rsidRPr="00DF2BF5">
              <w:rPr>
                <w:color w:val="000000"/>
                <w:sz w:val="20"/>
                <w:szCs w:val="20"/>
              </w:rPr>
              <w:t>Tesebbüs ve Mülkiyet Gelirleri</w:t>
            </w:r>
          </w:p>
        </w:tc>
        <w:tc>
          <w:tcPr>
            <w:tcW w:w="76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280.202.040,79</w:t>
            </w:r>
          </w:p>
        </w:tc>
        <w:tc>
          <w:tcPr>
            <w:tcW w:w="490"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8,88%</w:t>
            </w:r>
          </w:p>
        </w:tc>
        <w:tc>
          <w:tcPr>
            <w:tcW w:w="69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102.986.604,78</w:t>
            </w:r>
          </w:p>
        </w:tc>
        <w:tc>
          <w:tcPr>
            <w:tcW w:w="83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195.674.537,00</w:t>
            </w:r>
          </w:p>
        </w:tc>
        <w:tc>
          <w:tcPr>
            <w:tcW w:w="910"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254.729.127,99</w:t>
            </w:r>
          </w:p>
        </w:tc>
      </w:tr>
      <w:tr w:rsidR="00EB7592" w:rsidRPr="00A22EA5" w:rsidTr="004D2C0F">
        <w:trPr>
          <w:trHeight w:val="495"/>
        </w:trPr>
        <w:tc>
          <w:tcPr>
            <w:tcW w:w="309" w:type="pct"/>
            <w:tcBorders>
              <w:top w:val="nil"/>
              <w:left w:val="single" w:sz="8" w:space="0" w:color="auto"/>
              <w:bottom w:val="single" w:sz="4" w:space="0" w:color="auto"/>
              <w:right w:val="single" w:sz="4" w:space="0" w:color="auto"/>
            </w:tcBorders>
            <w:shd w:val="clear" w:color="auto" w:fill="auto"/>
            <w:vAlign w:val="center"/>
            <w:hideMark/>
          </w:tcPr>
          <w:p w:rsidR="00EB7592" w:rsidRPr="00DF2BF5" w:rsidRDefault="00EB7592" w:rsidP="004D2C0F">
            <w:pPr>
              <w:jc w:val="center"/>
              <w:rPr>
                <w:b/>
                <w:bCs/>
                <w:sz w:val="20"/>
                <w:szCs w:val="20"/>
              </w:rPr>
            </w:pPr>
            <w:r w:rsidRPr="00DF2BF5">
              <w:rPr>
                <w:b/>
                <w:bCs/>
                <w:sz w:val="20"/>
                <w:szCs w:val="20"/>
              </w:rPr>
              <w:t>4</w:t>
            </w:r>
          </w:p>
        </w:tc>
        <w:tc>
          <w:tcPr>
            <w:tcW w:w="984"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rPr>
                <w:b/>
                <w:bCs/>
                <w:color w:val="000000"/>
                <w:sz w:val="20"/>
                <w:szCs w:val="20"/>
              </w:rPr>
            </w:pPr>
            <w:r w:rsidRPr="00DF2BF5">
              <w:rPr>
                <w:b/>
                <w:bCs/>
                <w:color w:val="000000"/>
                <w:sz w:val="20"/>
                <w:szCs w:val="20"/>
              </w:rPr>
              <w:t>Alinan Bagis ve Yardimlar ile Ozel Gelirler</w:t>
            </w:r>
          </w:p>
        </w:tc>
        <w:tc>
          <w:tcPr>
            <w:tcW w:w="76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54.445.447,59</w:t>
            </w:r>
          </w:p>
        </w:tc>
        <w:tc>
          <w:tcPr>
            <w:tcW w:w="490"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1,73%</w:t>
            </w:r>
          </w:p>
        </w:tc>
        <w:tc>
          <w:tcPr>
            <w:tcW w:w="69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20.011.102,62</w:t>
            </w:r>
          </w:p>
        </w:tc>
        <w:tc>
          <w:tcPr>
            <w:tcW w:w="83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38.021.093,00</w:t>
            </w:r>
          </w:p>
        </w:tc>
        <w:tc>
          <w:tcPr>
            <w:tcW w:w="910"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49.495.861,44</w:t>
            </w:r>
          </w:p>
        </w:tc>
      </w:tr>
      <w:tr w:rsidR="00EB7592" w:rsidRPr="00A22EA5" w:rsidTr="004D2C0F">
        <w:trPr>
          <w:trHeight w:val="540"/>
        </w:trPr>
        <w:tc>
          <w:tcPr>
            <w:tcW w:w="309" w:type="pct"/>
            <w:tcBorders>
              <w:top w:val="nil"/>
              <w:left w:val="single" w:sz="8" w:space="0" w:color="auto"/>
              <w:bottom w:val="single" w:sz="4" w:space="0" w:color="auto"/>
              <w:right w:val="single" w:sz="4" w:space="0" w:color="auto"/>
            </w:tcBorders>
            <w:shd w:val="clear" w:color="auto" w:fill="auto"/>
            <w:vAlign w:val="center"/>
            <w:hideMark/>
          </w:tcPr>
          <w:p w:rsidR="00EB7592" w:rsidRPr="00DF2BF5" w:rsidRDefault="00EB7592" w:rsidP="004D2C0F">
            <w:pPr>
              <w:jc w:val="center"/>
              <w:rPr>
                <w:b/>
                <w:bCs/>
                <w:sz w:val="20"/>
                <w:szCs w:val="20"/>
              </w:rPr>
            </w:pPr>
            <w:r w:rsidRPr="00DF2BF5">
              <w:rPr>
                <w:b/>
                <w:bCs/>
                <w:sz w:val="20"/>
                <w:szCs w:val="20"/>
              </w:rPr>
              <w:t>5</w:t>
            </w:r>
          </w:p>
        </w:tc>
        <w:tc>
          <w:tcPr>
            <w:tcW w:w="984"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rPr>
                <w:color w:val="000000"/>
                <w:sz w:val="20"/>
                <w:szCs w:val="20"/>
              </w:rPr>
            </w:pPr>
            <w:r w:rsidRPr="00DF2BF5">
              <w:rPr>
                <w:color w:val="000000"/>
                <w:sz w:val="20"/>
                <w:szCs w:val="20"/>
              </w:rPr>
              <w:t>Diger Gelirler</w:t>
            </w:r>
          </w:p>
        </w:tc>
        <w:tc>
          <w:tcPr>
            <w:tcW w:w="76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1.298.877.711,67</w:t>
            </w:r>
          </w:p>
        </w:tc>
        <w:tc>
          <w:tcPr>
            <w:tcW w:w="490"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41,17%</w:t>
            </w:r>
          </w:p>
        </w:tc>
        <w:tc>
          <w:tcPr>
            <w:tcW w:w="69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477.394.829,71</w:t>
            </w:r>
          </w:p>
        </w:tc>
        <w:tc>
          <w:tcPr>
            <w:tcW w:w="83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907.050.202,00</w:t>
            </w:r>
          </w:p>
        </w:tc>
        <w:tc>
          <w:tcPr>
            <w:tcW w:w="910"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1.180.921.325,90</w:t>
            </w:r>
          </w:p>
        </w:tc>
      </w:tr>
      <w:tr w:rsidR="00EB7592" w:rsidRPr="00A22EA5" w:rsidTr="004D2C0F">
        <w:trPr>
          <w:trHeight w:val="495"/>
        </w:trPr>
        <w:tc>
          <w:tcPr>
            <w:tcW w:w="309" w:type="pct"/>
            <w:tcBorders>
              <w:top w:val="nil"/>
              <w:left w:val="single" w:sz="8" w:space="0" w:color="auto"/>
              <w:bottom w:val="single" w:sz="4" w:space="0" w:color="auto"/>
              <w:right w:val="single" w:sz="4" w:space="0" w:color="auto"/>
            </w:tcBorders>
            <w:shd w:val="clear" w:color="auto" w:fill="auto"/>
            <w:vAlign w:val="center"/>
            <w:hideMark/>
          </w:tcPr>
          <w:p w:rsidR="00EB7592" w:rsidRPr="00DF2BF5" w:rsidRDefault="00EB7592" w:rsidP="004D2C0F">
            <w:pPr>
              <w:jc w:val="center"/>
              <w:rPr>
                <w:b/>
                <w:bCs/>
                <w:sz w:val="20"/>
                <w:szCs w:val="20"/>
              </w:rPr>
            </w:pPr>
            <w:r w:rsidRPr="00DF2BF5">
              <w:rPr>
                <w:b/>
                <w:bCs/>
                <w:sz w:val="20"/>
                <w:szCs w:val="20"/>
              </w:rPr>
              <w:t>6</w:t>
            </w:r>
          </w:p>
        </w:tc>
        <w:tc>
          <w:tcPr>
            <w:tcW w:w="984"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rPr>
                <w:b/>
                <w:bCs/>
                <w:color w:val="000000"/>
                <w:sz w:val="20"/>
                <w:szCs w:val="20"/>
              </w:rPr>
            </w:pPr>
            <w:r w:rsidRPr="00DF2BF5">
              <w:rPr>
                <w:b/>
                <w:bCs/>
                <w:color w:val="000000"/>
                <w:sz w:val="20"/>
                <w:szCs w:val="20"/>
              </w:rPr>
              <w:t>Sermaye Gelirleri</w:t>
            </w:r>
          </w:p>
        </w:tc>
        <w:tc>
          <w:tcPr>
            <w:tcW w:w="76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1.354.632.916,99</w:t>
            </w:r>
          </w:p>
        </w:tc>
        <w:tc>
          <w:tcPr>
            <w:tcW w:w="490"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42,94%</w:t>
            </w:r>
          </w:p>
        </w:tc>
        <w:tc>
          <w:tcPr>
            <w:tcW w:w="69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494.725.714,44</w:t>
            </w:r>
          </w:p>
        </w:tc>
        <w:tc>
          <w:tcPr>
            <w:tcW w:w="83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939.978.856,00</w:t>
            </w:r>
          </w:p>
        </w:tc>
        <w:tc>
          <w:tcPr>
            <w:tcW w:w="910"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1.223.664.476,61</w:t>
            </w:r>
          </w:p>
        </w:tc>
      </w:tr>
      <w:tr w:rsidR="00EB7592" w:rsidRPr="00A22EA5" w:rsidTr="004D2C0F">
        <w:trPr>
          <w:trHeight w:val="540"/>
        </w:trPr>
        <w:tc>
          <w:tcPr>
            <w:tcW w:w="309" w:type="pct"/>
            <w:tcBorders>
              <w:top w:val="nil"/>
              <w:left w:val="single" w:sz="8" w:space="0" w:color="auto"/>
              <w:bottom w:val="single" w:sz="4" w:space="0" w:color="auto"/>
              <w:right w:val="single" w:sz="4" w:space="0" w:color="auto"/>
            </w:tcBorders>
            <w:shd w:val="clear" w:color="auto" w:fill="auto"/>
            <w:vAlign w:val="center"/>
            <w:hideMark/>
          </w:tcPr>
          <w:p w:rsidR="00EB7592" w:rsidRPr="00DF2BF5" w:rsidRDefault="00EB7592" w:rsidP="004D2C0F">
            <w:pPr>
              <w:jc w:val="center"/>
              <w:rPr>
                <w:b/>
                <w:bCs/>
                <w:sz w:val="20"/>
                <w:szCs w:val="20"/>
              </w:rPr>
            </w:pPr>
            <w:r w:rsidRPr="00DF2BF5">
              <w:rPr>
                <w:b/>
                <w:bCs/>
                <w:sz w:val="20"/>
                <w:szCs w:val="20"/>
              </w:rPr>
              <w:t>9</w:t>
            </w:r>
          </w:p>
        </w:tc>
        <w:tc>
          <w:tcPr>
            <w:tcW w:w="984"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rPr>
                <w:color w:val="000000"/>
                <w:sz w:val="20"/>
                <w:szCs w:val="20"/>
              </w:rPr>
            </w:pPr>
            <w:r w:rsidRPr="00DF2BF5">
              <w:rPr>
                <w:color w:val="000000"/>
                <w:sz w:val="20"/>
                <w:szCs w:val="20"/>
              </w:rPr>
              <w:t>Red ve Iadeler (-)</w:t>
            </w:r>
          </w:p>
        </w:tc>
        <w:tc>
          <w:tcPr>
            <w:tcW w:w="76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604.949,46</w:t>
            </w:r>
          </w:p>
        </w:tc>
        <w:tc>
          <w:tcPr>
            <w:tcW w:w="490"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0,02%</w:t>
            </w:r>
          </w:p>
        </w:tc>
        <w:tc>
          <w:tcPr>
            <w:tcW w:w="69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222.345,60</w:t>
            </w:r>
          </w:p>
        </w:tc>
        <w:tc>
          <w:tcPr>
            <w:tcW w:w="839"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422.456,00</w:t>
            </w:r>
          </w:p>
        </w:tc>
        <w:tc>
          <w:tcPr>
            <w:tcW w:w="910" w:type="pct"/>
            <w:tcBorders>
              <w:top w:val="nil"/>
              <w:left w:val="nil"/>
              <w:bottom w:val="single" w:sz="4" w:space="0" w:color="auto"/>
              <w:right w:val="single" w:sz="4" w:space="0" w:color="auto"/>
            </w:tcBorders>
            <w:shd w:val="clear" w:color="auto" w:fill="auto"/>
            <w:noWrap/>
            <w:vAlign w:val="center"/>
            <w:hideMark/>
          </w:tcPr>
          <w:p w:rsidR="00EB7592" w:rsidRPr="00DF2BF5" w:rsidRDefault="00EB7592" w:rsidP="004D2C0F">
            <w:pPr>
              <w:jc w:val="right"/>
              <w:rPr>
                <w:sz w:val="20"/>
                <w:szCs w:val="20"/>
              </w:rPr>
            </w:pPr>
            <w:r w:rsidRPr="00DF2BF5">
              <w:rPr>
                <w:sz w:val="20"/>
                <w:szCs w:val="20"/>
              </w:rPr>
              <w:t>549.954,05</w:t>
            </w:r>
          </w:p>
        </w:tc>
      </w:tr>
      <w:tr w:rsidR="00EB7592" w:rsidRPr="00A22EA5" w:rsidTr="004D2C0F">
        <w:trPr>
          <w:trHeight w:val="495"/>
        </w:trPr>
        <w:tc>
          <w:tcPr>
            <w:tcW w:w="309" w:type="pct"/>
            <w:tcBorders>
              <w:top w:val="nil"/>
              <w:left w:val="single" w:sz="8" w:space="0" w:color="auto"/>
              <w:bottom w:val="single" w:sz="8" w:space="0" w:color="auto"/>
              <w:right w:val="single" w:sz="4" w:space="0" w:color="auto"/>
            </w:tcBorders>
            <w:shd w:val="clear" w:color="auto" w:fill="auto"/>
            <w:noWrap/>
            <w:vAlign w:val="bottom"/>
            <w:hideMark/>
          </w:tcPr>
          <w:p w:rsidR="00EB7592" w:rsidRPr="00DF2BF5" w:rsidRDefault="00EB7592" w:rsidP="004D2C0F">
            <w:pPr>
              <w:jc w:val="center"/>
              <w:rPr>
                <w:b/>
                <w:bCs/>
                <w:sz w:val="20"/>
                <w:szCs w:val="20"/>
              </w:rPr>
            </w:pPr>
            <w:r w:rsidRPr="00DF2BF5">
              <w:rPr>
                <w:b/>
                <w:bCs/>
                <w:sz w:val="20"/>
                <w:szCs w:val="20"/>
              </w:rPr>
              <w:t> </w:t>
            </w:r>
          </w:p>
        </w:tc>
        <w:tc>
          <w:tcPr>
            <w:tcW w:w="984" w:type="pct"/>
            <w:tcBorders>
              <w:top w:val="nil"/>
              <w:left w:val="nil"/>
              <w:bottom w:val="single" w:sz="8" w:space="0" w:color="auto"/>
              <w:right w:val="single" w:sz="4" w:space="0" w:color="auto"/>
            </w:tcBorders>
            <w:shd w:val="clear" w:color="auto" w:fill="auto"/>
            <w:noWrap/>
            <w:vAlign w:val="center"/>
            <w:hideMark/>
          </w:tcPr>
          <w:p w:rsidR="00EB7592" w:rsidRPr="00DF2BF5" w:rsidRDefault="00EB7592" w:rsidP="004D2C0F">
            <w:pPr>
              <w:rPr>
                <w:b/>
                <w:bCs/>
                <w:color w:val="000000"/>
                <w:sz w:val="20"/>
                <w:szCs w:val="20"/>
              </w:rPr>
            </w:pPr>
            <w:r w:rsidRPr="00DF2BF5">
              <w:rPr>
                <w:b/>
                <w:bCs/>
                <w:color w:val="000000"/>
                <w:sz w:val="20"/>
                <w:szCs w:val="20"/>
              </w:rPr>
              <w:t>TOPLAM</w:t>
            </w:r>
          </w:p>
        </w:tc>
        <w:tc>
          <w:tcPr>
            <w:tcW w:w="769" w:type="pct"/>
            <w:tcBorders>
              <w:top w:val="nil"/>
              <w:left w:val="nil"/>
              <w:bottom w:val="single" w:sz="8"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3.155.000.000,00</w:t>
            </w:r>
          </w:p>
        </w:tc>
        <w:tc>
          <w:tcPr>
            <w:tcW w:w="490" w:type="pct"/>
            <w:tcBorders>
              <w:top w:val="nil"/>
              <w:left w:val="nil"/>
              <w:bottom w:val="single" w:sz="8"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100,00%</w:t>
            </w:r>
          </w:p>
        </w:tc>
        <w:tc>
          <w:tcPr>
            <w:tcW w:w="699" w:type="pct"/>
            <w:tcBorders>
              <w:top w:val="nil"/>
              <w:left w:val="nil"/>
              <w:bottom w:val="single" w:sz="8" w:space="0" w:color="auto"/>
              <w:right w:val="single" w:sz="8"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1.156.440.000,00</w:t>
            </w:r>
          </w:p>
        </w:tc>
        <w:tc>
          <w:tcPr>
            <w:tcW w:w="839" w:type="pct"/>
            <w:tcBorders>
              <w:top w:val="nil"/>
              <w:left w:val="single" w:sz="4" w:space="0" w:color="auto"/>
              <w:bottom w:val="single" w:sz="8" w:space="0" w:color="auto"/>
              <w:right w:val="single" w:sz="4" w:space="0" w:color="auto"/>
            </w:tcBorders>
            <w:shd w:val="clear" w:color="auto" w:fill="auto"/>
            <w:noWrap/>
            <w:vAlign w:val="center"/>
            <w:hideMark/>
          </w:tcPr>
          <w:p w:rsidR="00EB7592" w:rsidRPr="00DF2BF5" w:rsidRDefault="00EB7592" w:rsidP="004D2C0F">
            <w:pPr>
              <w:rPr>
                <w:b/>
                <w:bCs/>
                <w:sz w:val="20"/>
                <w:szCs w:val="20"/>
              </w:rPr>
            </w:pPr>
            <w:r w:rsidRPr="00DF2BF5">
              <w:rPr>
                <w:b/>
                <w:bCs/>
                <w:sz w:val="20"/>
                <w:szCs w:val="20"/>
              </w:rPr>
              <w:t>2.197.236.000,00</w:t>
            </w:r>
          </w:p>
        </w:tc>
        <w:tc>
          <w:tcPr>
            <w:tcW w:w="910" w:type="pct"/>
            <w:tcBorders>
              <w:top w:val="nil"/>
              <w:left w:val="nil"/>
              <w:bottom w:val="single" w:sz="8" w:space="0" w:color="auto"/>
              <w:right w:val="single" w:sz="4" w:space="0" w:color="auto"/>
            </w:tcBorders>
            <w:shd w:val="clear" w:color="auto" w:fill="auto"/>
            <w:noWrap/>
            <w:vAlign w:val="center"/>
            <w:hideMark/>
          </w:tcPr>
          <w:p w:rsidR="00EB7592" w:rsidRPr="00DF2BF5" w:rsidRDefault="00EB7592" w:rsidP="004D2C0F">
            <w:pPr>
              <w:jc w:val="right"/>
              <w:rPr>
                <w:b/>
                <w:bCs/>
                <w:sz w:val="20"/>
                <w:szCs w:val="20"/>
              </w:rPr>
            </w:pPr>
            <w:r w:rsidRPr="00DF2BF5">
              <w:rPr>
                <w:b/>
                <w:bCs/>
                <w:sz w:val="20"/>
                <w:szCs w:val="20"/>
              </w:rPr>
              <w:t>2.860.485.231,00</w:t>
            </w:r>
          </w:p>
        </w:tc>
      </w:tr>
    </w:tbl>
    <w:p w:rsidR="00EB7592" w:rsidRDefault="00EB7592" w:rsidP="00EB7592">
      <w:pPr>
        <w:jc w:val="both"/>
        <w:rPr>
          <w:b/>
        </w:rPr>
      </w:pPr>
    </w:p>
    <w:p w:rsidR="00EB7592" w:rsidRDefault="00EB7592" w:rsidP="00EB7592">
      <w:pPr>
        <w:jc w:val="both"/>
        <w:rPr>
          <w:b/>
        </w:rPr>
      </w:pPr>
    </w:p>
    <w:p w:rsidR="00EB7592" w:rsidRDefault="00EB7592" w:rsidP="00EB7592">
      <w:pPr>
        <w:jc w:val="both"/>
        <w:rPr>
          <w:b/>
        </w:rPr>
      </w:pPr>
      <w:r>
        <w:rPr>
          <w:b/>
        </w:rPr>
        <w:t xml:space="preserve">Toplam </w:t>
      </w:r>
      <w:r>
        <w:rPr>
          <w:b/>
          <w:color w:val="FF0000"/>
          <w:u w:val="single"/>
        </w:rPr>
        <w:t>üçmilyaryüzellibeşmilyon</w:t>
      </w:r>
      <w:r>
        <w:rPr>
          <w:b/>
        </w:rPr>
        <w:t xml:space="preserve"> TL ödenek konulduğu; kanun, tüzük ve yönetmenliklere aykırı gelir kalemlerinin konulmadığı;</w:t>
      </w:r>
    </w:p>
    <w:p w:rsidR="00EB7592" w:rsidRDefault="00EB7592" w:rsidP="00EB7592">
      <w:pPr>
        <w:jc w:val="both"/>
        <w:rPr>
          <w:b/>
        </w:rPr>
      </w:pPr>
    </w:p>
    <w:p w:rsidR="00EB7592" w:rsidRDefault="00EB7592" w:rsidP="00EB7592">
      <w:pPr>
        <w:ind w:firstLine="708"/>
        <w:jc w:val="both"/>
      </w:pPr>
      <w:r w:rsidRPr="00CB47E2">
        <w:t xml:space="preserve">Bütçeye konulan ödeneklerin gerçek ihtiyaç karşılığı olduğu toplam </w:t>
      </w:r>
      <w:r>
        <w:rPr>
          <w:b/>
        </w:rPr>
        <w:t>3</w:t>
      </w:r>
      <w:r w:rsidRPr="00781BFC">
        <w:rPr>
          <w:b/>
        </w:rPr>
        <w:t>.</w:t>
      </w:r>
      <w:r>
        <w:rPr>
          <w:b/>
        </w:rPr>
        <w:t>155</w:t>
      </w:r>
      <w:r w:rsidRPr="00781BFC">
        <w:rPr>
          <w:b/>
        </w:rPr>
        <w:t>.</w:t>
      </w:r>
      <w:r>
        <w:rPr>
          <w:b/>
        </w:rPr>
        <w:t>000.000</w:t>
      </w:r>
      <w:r w:rsidRPr="00781BFC">
        <w:rPr>
          <w:b/>
        </w:rPr>
        <w:t>,00 TL</w:t>
      </w:r>
      <w:r w:rsidRPr="00CB47E2">
        <w:t xml:space="preserve"> olarak denklik sağla</w:t>
      </w:r>
      <w:r>
        <w:t>n</w:t>
      </w:r>
      <w:r w:rsidRPr="00CB47E2">
        <w:t>dığı tespit edilmiştir</w:t>
      </w:r>
      <w:r>
        <w:t>.</w:t>
      </w:r>
    </w:p>
    <w:p w:rsidR="00EB7592" w:rsidRDefault="00EB7592" w:rsidP="00EB7592">
      <w:pPr>
        <w:ind w:firstLine="708"/>
        <w:jc w:val="both"/>
      </w:pPr>
    </w:p>
    <w:p w:rsidR="00EB7592" w:rsidRDefault="00EB7592" w:rsidP="00EB7592">
      <w:pPr>
        <w:ind w:firstLine="708"/>
        <w:jc w:val="both"/>
      </w:pPr>
      <w:r>
        <w:t xml:space="preserve"> 2026</w:t>
      </w:r>
      <w:r w:rsidRPr="00CB47E2">
        <w:t xml:space="preserve"> yılı </w:t>
      </w:r>
      <w:r>
        <w:t xml:space="preserve">gelir-gider bütçe </w:t>
      </w:r>
      <w:r w:rsidRPr="00CB47E2">
        <w:t>tahminleri komisyonumuzca oy birliği ile ka</w:t>
      </w:r>
      <w:r>
        <w:t>bul edilmiş olup,</w:t>
      </w:r>
    </w:p>
    <w:p w:rsidR="00EB7592" w:rsidRDefault="00EB7592" w:rsidP="00EB7592">
      <w:pPr>
        <w:ind w:firstLine="708"/>
        <w:jc w:val="both"/>
      </w:pPr>
    </w:p>
    <w:p w:rsidR="00EB7592" w:rsidRPr="00CB47E2" w:rsidRDefault="00EB7592" w:rsidP="00EB7592">
      <w:pPr>
        <w:ind w:firstLine="708"/>
        <w:jc w:val="both"/>
      </w:pPr>
      <w:r w:rsidRPr="00CB47E2">
        <w:t>Sayın meclis</w:t>
      </w:r>
      <w:r>
        <w:t>imizin</w:t>
      </w:r>
      <w:r w:rsidRPr="00CB47E2">
        <w:t xml:space="preserve"> bilgilerine arz olunur</w:t>
      </w:r>
      <w:r>
        <w:t>.</w:t>
      </w:r>
    </w:p>
    <w:p w:rsidR="00EB7592" w:rsidRPr="00CB47E2" w:rsidRDefault="00EB7592" w:rsidP="00EB7592">
      <w:pPr>
        <w:jc w:val="both"/>
      </w:pPr>
    </w:p>
    <w:p w:rsidR="00EB7592" w:rsidRDefault="00EB7592" w:rsidP="00EB7592">
      <w:pPr>
        <w:jc w:val="both"/>
        <w:rPr>
          <w:b/>
        </w:rPr>
      </w:pPr>
    </w:p>
    <w:p w:rsidR="00EB7592" w:rsidRDefault="00EB7592" w:rsidP="00EB7592">
      <w:pPr>
        <w:jc w:val="center"/>
        <w:rPr>
          <w:b/>
        </w:rPr>
      </w:pPr>
      <w:r>
        <w:rPr>
          <w:b/>
        </w:rPr>
        <w:t>PLAN VE BÜTÇE KOMİSYON ÜYELERİ</w:t>
      </w:r>
    </w:p>
    <w:p w:rsidR="00EB7592" w:rsidRDefault="00EB7592" w:rsidP="00EB7592">
      <w:pPr>
        <w:jc w:val="center"/>
        <w:rPr>
          <w:b/>
        </w:rPr>
      </w:pPr>
    </w:p>
    <w:p w:rsidR="00EB7592" w:rsidRDefault="00EB7592" w:rsidP="00EB7592">
      <w:pPr>
        <w:jc w:val="center"/>
        <w:rPr>
          <w:b/>
        </w:rPr>
      </w:pPr>
    </w:p>
    <w:p w:rsidR="00EB7592" w:rsidRPr="00525FC3" w:rsidRDefault="00EB7592" w:rsidP="00EB7592">
      <w:pPr>
        <w:jc w:val="center"/>
        <w:rPr>
          <w:b/>
        </w:rPr>
      </w:pPr>
      <w:r w:rsidRPr="00525FC3">
        <w:rPr>
          <w:b/>
        </w:rPr>
        <w:t>Erkan POLAT</w:t>
      </w:r>
    </w:p>
    <w:p w:rsidR="00EB7592" w:rsidRPr="00525FC3" w:rsidRDefault="00EB7592" w:rsidP="00EB7592">
      <w:pPr>
        <w:jc w:val="center"/>
        <w:rPr>
          <w:b/>
        </w:rPr>
      </w:pPr>
      <w:r w:rsidRPr="00525FC3">
        <w:rPr>
          <w:b/>
        </w:rPr>
        <w:t>Komisyon Başkanı</w:t>
      </w:r>
    </w:p>
    <w:p w:rsidR="00EB7592" w:rsidRPr="00525FC3" w:rsidRDefault="00EB7592" w:rsidP="00EB7592">
      <w:pPr>
        <w:jc w:val="center"/>
        <w:rPr>
          <w:b/>
        </w:rPr>
      </w:pPr>
    </w:p>
    <w:p w:rsidR="00EB7592" w:rsidRPr="00525FC3" w:rsidRDefault="00EB7592" w:rsidP="00EB7592">
      <w:pPr>
        <w:jc w:val="center"/>
        <w:rPr>
          <w:b/>
        </w:rPr>
      </w:pPr>
    </w:p>
    <w:p w:rsidR="00EB7592" w:rsidRPr="00525FC3" w:rsidRDefault="00EB7592" w:rsidP="00EB7592">
      <w:pPr>
        <w:jc w:val="center"/>
        <w:rPr>
          <w:b/>
        </w:rPr>
      </w:pPr>
    </w:p>
    <w:p w:rsidR="00EB7592" w:rsidRPr="00525FC3" w:rsidRDefault="00EB7592" w:rsidP="00EB7592">
      <w:pPr>
        <w:jc w:val="center"/>
        <w:rPr>
          <w:b/>
        </w:rPr>
      </w:pPr>
    </w:p>
    <w:p w:rsidR="00EB7592" w:rsidRDefault="00EB7592" w:rsidP="00EB7592">
      <w:pPr>
        <w:jc w:val="center"/>
        <w:rPr>
          <w:b/>
        </w:rPr>
      </w:pPr>
      <w:r>
        <w:rPr>
          <w:b/>
        </w:rPr>
        <w:t>Yahya KOLAT</w:t>
      </w:r>
      <w:r>
        <w:rPr>
          <w:b/>
        </w:rPr>
        <w:tab/>
        <w:t>Rahşan KÜLÜNK</w:t>
      </w:r>
      <w:r>
        <w:rPr>
          <w:b/>
        </w:rPr>
        <w:tab/>
        <w:t>Nuri Recep ÖZDOĞAN</w:t>
      </w:r>
      <w:r>
        <w:rPr>
          <w:b/>
        </w:rPr>
        <w:tab/>
      </w:r>
      <w:r w:rsidRPr="00525FC3">
        <w:rPr>
          <w:b/>
        </w:rPr>
        <w:t>İlhami ZORLU</w:t>
      </w:r>
    </w:p>
    <w:p w:rsidR="00EB7592" w:rsidRPr="00EB7592" w:rsidRDefault="00EB7592" w:rsidP="00EB7592">
      <w:pPr>
        <w:ind w:firstLine="708"/>
        <w:rPr>
          <w:b/>
        </w:rPr>
      </w:pPr>
      <w:r w:rsidRPr="00525FC3">
        <w:rPr>
          <w:b/>
        </w:rPr>
        <w:t xml:space="preserve">Üye     </w:t>
      </w:r>
      <w:r>
        <w:rPr>
          <w:b/>
        </w:rPr>
        <w:t xml:space="preserve">                  </w:t>
      </w:r>
      <w:r>
        <w:rPr>
          <w:b/>
        </w:rPr>
        <w:tab/>
      </w:r>
      <w:r w:rsidRPr="00525FC3">
        <w:rPr>
          <w:b/>
        </w:rPr>
        <w:t xml:space="preserve">Üye      </w:t>
      </w:r>
      <w:r>
        <w:rPr>
          <w:b/>
        </w:rPr>
        <w:t xml:space="preserve">                            </w:t>
      </w:r>
      <w:r w:rsidRPr="00525FC3">
        <w:rPr>
          <w:b/>
        </w:rPr>
        <w:t xml:space="preserve">Üye        </w:t>
      </w:r>
      <w:r>
        <w:rPr>
          <w:b/>
        </w:rPr>
        <w:t xml:space="preserve">            </w:t>
      </w:r>
      <w:r w:rsidR="005669A1">
        <w:rPr>
          <w:b/>
        </w:rPr>
        <w:tab/>
      </w:r>
      <w:r w:rsidR="005669A1">
        <w:rPr>
          <w:b/>
        </w:rPr>
        <w:tab/>
      </w:r>
      <w:r w:rsidRPr="00525FC3">
        <w:rPr>
          <w:b/>
        </w:rPr>
        <w:t>Üye</w:t>
      </w:r>
    </w:p>
    <w:p w:rsidR="00EB7592" w:rsidRPr="00525FC3" w:rsidRDefault="00EB7592" w:rsidP="00EB7592">
      <w:pPr>
        <w:jc w:val="center"/>
        <w:rPr>
          <w:b/>
        </w:rPr>
      </w:pPr>
    </w:p>
    <w:p w:rsidR="00EB7592" w:rsidRPr="00D52535" w:rsidRDefault="00EB7592" w:rsidP="00EB7592">
      <w:pPr>
        <w:jc w:val="center"/>
      </w:pPr>
    </w:p>
    <w:p w:rsidR="00EB7592" w:rsidRPr="00867ACB" w:rsidRDefault="00EB7592" w:rsidP="000B6BDE">
      <w:pPr>
        <w:pStyle w:val="Dizin"/>
        <w:rPr>
          <w:b/>
          <w:color w:val="000000"/>
        </w:rPr>
      </w:pPr>
    </w:p>
    <w:sectPr w:rsidR="00EB7592" w:rsidRPr="00867ACB" w:rsidSect="00B34D64">
      <w:headerReference w:type="default" r:id="rId8"/>
      <w:footerReference w:type="default" r:id="rId9"/>
      <w:pgSz w:w="11906" w:h="16838"/>
      <w:pgMar w:top="142"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85F" w:rsidRDefault="000B585F" w:rsidP="00733E8A">
      <w:r>
        <w:separator/>
      </w:r>
    </w:p>
  </w:endnote>
  <w:endnote w:type="continuationSeparator" w:id="1">
    <w:p w:rsidR="000B585F" w:rsidRDefault="000B585F"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EA" w:rsidRDefault="001626EA">
    <w:pPr>
      <w:pStyle w:val="Altbilgi"/>
      <w:jc w:val="center"/>
    </w:pPr>
  </w:p>
  <w:p w:rsidR="001626EA" w:rsidRDefault="001626E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85F" w:rsidRDefault="000B585F" w:rsidP="00733E8A">
      <w:r>
        <w:separator/>
      </w:r>
    </w:p>
  </w:footnote>
  <w:footnote w:type="continuationSeparator" w:id="1">
    <w:p w:rsidR="000B585F" w:rsidRDefault="000B585F"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6EA" w:rsidRPr="00733E8A" w:rsidRDefault="001626EA"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1626EA" w:rsidRPr="00733E8A" w:rsidRDefault="001626EA"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1626EA" w:rsidRDefault="001626EA"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83745B6"/>
    <w:multiLevelType w:val="hybridMultilevel"/>
    <w:tmpl w:val="F6C6AEB8"/>
    <w:lvl w:ilvl="0" w:tplc="3F3652C6">
      <w:start w:val="3"/>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2">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1D3A5E9D"/>
    <w:multiLevelType w:val="hybridMultilevel"/>
    <w:tmpl w:val="765AFB9C"/>
    <w:lvl w:ilvl="0" w:tplc="1AB8592A">
      <w:start w:val="3"/>
      <w:numFmt w:val="decimal"/>
      <w:lvlText w:val="%1-"/>
      <w:lvlJc w:val="left"/>
      <w:pPr>
        <w:ind w:left="660" w:hanging="360"/>
      </w:pPr>
      <w:rPr>
        <w:rFonts w:hint="default"/>
        <w:b/>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6">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22C05003"/>
    <w:multiLevelType w:val="hybridMultilevel"/>
    <w:tmpl w:val="E2C0A108"/>
    <w:lvl w:ilvl="0" w:tplc="2AF45B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2">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6867D23"/>
    <w:multiLevelType w:val="multilevel"/>
    <w:tmpl w:val="020274B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14F3F21"/>
    <w:multiLevelType w:val="hybridMultilevel"/>
    <w:tmpl w:val="74D6D318"/>
    <w:lvl w:ilvl="0" w:tplc="CA9EB4D2">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44B5128E"/>
    <w:multiLevelType w:val="hybridMultilevel"/>
    <w:tmpl w:val="7FD4550E"/>
    <w:lvl w:ilvl="0" w:tplc="8404EC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9">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581322CC"/>
    <w:multiLevelType w:val="hybridMultilevel"/>
    <w:tmpl w:val="A440C4C8"/>
    <w:lvl w:ilvl="0" w:tplc="86E2235A">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1">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3">
    <w:nsid w:val="6AFC08E5"/>
    <w:multiLevelType w:val="hybridMultilevel"/>
    <w:tmpl w:val="33CC79E4"/>
    <w:lvl w:ilvl="0" w:tplc="856049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8">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0">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762779EE"/>
    <w:multiLevelType w:val="hybridMultilevel"/>
    <w:tmpl w:val="5BECC5BC"/>
    <w:lvl w:ilvl="0" w:tplc="64269F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E9021B4"/>
    <w:multiLevelType w:val="hybridMultilevel"/>
    <w:tmpl w:val="814CA4D8"/>
    <w:lvl w:ilvl="0" w:tplc="BDCCE2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9"/>
  </w:num>
  <w:num w:numId="6">
    <w:abstractNumId w:val="12"/>
  </w:num>
  <w:num w:numId="7">
    <w:abstractNumId w:val="7"/>
  </w:num>
  <w:num w:numId="8">
    <w:abstractNumId w:val="25"/>
  </w:num>
  <w:num w:numId="9">
    <w:abstractNumId w:val="22"/>
  </w:num>
  <w:num w:numId="10">
    <w:abstractNumId w:val="3"/>
  </w:num>
  <w:num w:numId="11">
    <w:abstractNumId w:val="2"/>
  </w:num>
  <w:num w:numId="12">
    <w:abstractNumId w:val="4"/>
  </w:num>
  <w:num w:numId="13">
    <w:abstractNumId w:val="27"/>
  </w:num>
  <w:num w:numId="14">
    <w:abstractNumId w:val="24"/>
  </w:num>
  <w:num w:numId="15">
    <w:abstractNumId w:val="21"/>
  </w:num>
  <w:num w:numId="16">
    <w:abstractNumId w:val="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6"/>
  </w:num>
  <w:num w:numId="20">
    <w:abstractNumId w:val="11"/>
  </w:num>
  <w:num w:numId="21">
    <w:abstractNumId w:val="6"/>
  </w:num>
  <w:num w:numId="22">
    <w:abstractNumId w:val="18"/>
  </w:num>
  <w:num w:numId="23">
    <w:abstractNumId w:val="0"/>
  </w:num>
  <w:num w:numId="24">
    <w:abstractNumId w:val="28"/>
  </w:num>
  <w:num w:numId="25">
    <w:abstractNumId w:val="32"/>
  </w:num>
  <w:num w:numId="26">
    <w:abstractNumId w:val="33"/>
  </w:num>
  <w:num w:numId="27">
    <w:abstractNumId w:val="8"/>
  </w:num>
  <w:num w:numId="28">
    <w:abstractNumId w:val="16"/>
  </w:num>
  <w:num w:numId="29">
    <w:abstractNumId w:val="31"/>
  </w:num>
  <w:num w:numId="30">
    <w:abstractNumId w:val="20"/>
  </w:num>
  <w:num w:numId="31">
    <w:abstractNumId w:val="1"/>
  </w:num>
  <w:num w:numId="32">
    <w:abstractNumId w:val="5"/>
  </w:num>
  <w:num w:numId="33">
    <w:abstractNumId w:val="17"/>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25FF"/>
    <w:rsid w:val="0000643F"/>
    <w:rsid w:val="000070B6"/>
    <w:rsid w:val="00007DE5"/>
    <w:rsid w:val="00010F42"/>
    <w:rsid w:val="0001130B"/>
    <w:rsid w:val="00012D0D"/>
    <w:rsid w:val="00012E64"/>
    <w:rsid w:val="00015DF2"/>
    <w:rsid w:val="00016E43"/>
    <w:rsid w:val="000170F1"/>
    <w:rsid w:val="00017C71"/>
    <w:rsid w:val="00020E1B"/>
    <w:rsid w:val="0002122A"/>
    <w:rsid w:val="00025B32"/>
    <w:rsid w:val="00026EF7"/>
    <w:rsid w:val="00027303"/>
    <w:rsid w:val="000276DB"/>
    <w:rsid w:val="00030985"/>
    <w:rsid w:val="000327FD"/>
    <w:rsid w:val="00032EAF"/>
    <w:rsid w:val="00033374"/>
    <w:rsid w:val="00033DA4"/>
    <w:rsid w:val="00037D9F"/>
    <w:rsid w:val="0004012A"/>
    <w:rsid w:val="00041B8B"/>
    <w:rsid w:val="00042C91"/>
    <w:rsid w:val="00043FC4"/>
    <w:rsid w:val="0004449C"/>
    <w:rsid w:val="00045046"/>
    <w:rsid w:val="00045DEF"/>
    <w:rsid w:val="000466F8"/>
    <w:rsid w:val="00046EA3"/>
    <w:rsid w:val="00047222"/>
    <w:rsid w:val="00051C0A"/>
    <w:rsid w:val="00053CC9"/>
    <w:rsid w:val="0005488A"/>
    <w:rsid w:val="00054FDD"/>
    <w:rsid w:val="000565F0"/>
    <w:rsid w:val="0005720A"/>
    <w:rsid w:val="0006157E"/>
    <w:rsid w:val="00061651"/>
    <w:rsid w:val="00062883"/>
    <w:rsid w:val="000631A3"/>
    <w:rsid w:val="000631F2"/>
    <w:rsid w:val="00063CDF"/>
    <w:rsid w:val="00065CB0"/>
    <w:rsid w:val="00067655"/>
    <w:rsid w:val="00067782"/>
    <w:rsid w:val="000677E1"/>
    <w:rsid w:val="00072A6A"/>
    <w:rsid w:val="0007331C"/>
    <w:rsid w:val="00081122"/>
    <w:rsid w:val="00081403"/>
    <w:rsid w:val="00083F06"/>
    <w:rsid w:val="000840E3"/>
    <w:rsid w:val="00084A64"/>
    <w:rsid w:val="000851DB"/>
    <w:rsid w:val="00085327"/>
    <w:rsid w:val="00086A06"/>
    <w:rsid w:val="0009383A"/>
    <w:rsid w:val="0009499E"/>
    <w:rsid w:val="000972B9"/>
    <w:rsid w:val="000A5BDF"/>
    <w:rsid w:val="000A7E04"/>
    <w:rsid w:val="000B0046"/>
    <w:rsid w:val="000B06D4"/>
    <w:rsid w:val="000B2201"/>
    <w:rsid w:val="000B2357"/>
    <w:rsid w:val="000B2FB2"/>
    <w:rsid w:val="000B459A"/>
    <w:rsid w:val="000B466B"/>
    <w:rsid w:val="000B585F"/>
    <w:rsid w:val="000B6BDE"/>
    <w:rsid w:val="000B6E99"/>
    <w:rsid w:val="000C2688"/>
    <w:rsid w:val="000C2790"/>
    <w:rsid w:val="000C4633"/>
    <w:rsid w:val="000C6CF4"/>
    <w:rsid w:val="000D16BF"/>
    <w:rsid w:val="000D1FC5"/>
    <w:rsid w:val="000D30BB"/>
    <w:rsid w:val="000D4014"/>
    <w:rsid w:val="000D64C3"/>
    <w:rsid w:val="000D681C"/>
    <w:rsid w:val="000E0055"/>
    <w:rsid w:val="000E105D"/>
    <w:rsid w:val="000E14E7"/>
    <w:rsid w:val="000E2BEF"/>
    <w:rsid w:val="000E310F"/>
    <w:rsid w:val="000E4819"/>
    <w:rsid w:val="000F01BA"/>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63C2"/>
    <w:rsid w:val="00137C4E"/>
    <w:rsid w:val="00142A3C"/>
    <w:rsid w:val="001450C1"/>
    <w:rsid w:val="00145E77"/>
    <w:rsid w:val="00146BE9"/>
    <w:rsid w:val="001526AF"/>
    <w:rsid w:val="0015336F"/>
    <w:rsid w:val="00155E80"/>
    <w:rsid w:val="0015758A"/>
    <w:rsid w:val="00157597"/>
    <w:rsid w:val="00161047"/>
    <w:rsid w:val="00162542"/>
    <w:rsid w:val="001626EA"/>
    <w:rsid w:val="001637B4"/>
    <w:rsid w:val="001646B0"/>
    <w:rsid w:val="00164954"/>
    <w:rsid w:val="00165D8C"/>
    <w:rsid w:val="001679A0"/>
    <w:rsid w:val="00167ABB"/>
    <w:rsid w:val="001716D5"/>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7436"/>
    <w:rsid w:val="001C063F"/>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973"/>
    <w:rsid w:val="001E4A7B"/>
    <w:rsid w:val="001E58D9"/>
    <w:rsid w:val="001E6AB8"/>
    <w:rsid w:val="001F0820"/>
    <w:rsid w:val="001F212B"/>
    <w:rsid w:val="001F24A3"/>
    <w:rsid w:val="001F422D"/>
    <w:rsid w:val="001F6A70"/>
    <w:rsid w:val="00200137"/>
    <w:rsid w:val="00201308"/>
    <w:rsid w:val="002016DF"/>
    <w:rsid w:val="00204B04"/>
    <w:rsid w:val="00205D60"/>
    <w:rsid w:val="0020614D"/>
    <w:rsid w:val="002072D1"/>
    <w:rsid w:val="00207CDD"/>
    <w:rsid w:val="0021004D"/>
    <w:rsid w:val="00213072"/>
    <w:rsid w:val="002142F8"/>
    <w:rsid w:val="00214449"/>
    <w:rsid w:val="002148E5"/>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4AAA"/>
    <w:rsid w:val="00245CF7"/>
    <w:rsid w:val="002463CE"/>
    <w:rsid w:val="00246833"/>
    <w:rsid w:val="00246C83"/>
    <w:rsid w:val="002508A0"/>
    <w:rsid w:val="00251020"/>
    <w:rsid w:val="00251B0F"/>
    <w:rsid w:val="00252356"/>
    <w:rsid w:val="0025609A"/>
    <w:rsid w:val="00256899"/>
    <w:rsid w:val="00256FFC"/>
    <w:rsid w:val="00261484"/>
    <w:rsid w:val="0026231C"/>
    <w:rsid w:val="002636C7"/>
    <w:rsid w:val="00264C64"/>
    <w:rsid w:val="00264ED1"/>
    <w:rsid w:val="00266A9A"/>
    <w:rsid w:val="00266CB3"/>
    <w:rsid w:val="002733E9"/>
    <w:rsid w:val="00273C9F"/>
    <w:rsid w:val="00274631"/>
    <w:rsid w:val="00275584"/>
    <w:rsid w:val="00275667"/>
    <w:rsid w:val="002760C9"/>
    <w:rsid w:val="002763CB"/>
    <w:rsid w:val="0027689B"/>
    <w:rsid w:val="00277212"/>
    <w:rsid w:val="002818B6"/>
    <w:rsid w:val="00281B81"/>
    <w:rsid w:val="00281EA8"/>
    <w:rsid w:val="00290310"/>
    <w:rsid w:val="00290EE1"/>
    <w:rsid w:val="002910F1"/>
    <w:rsid w:val="002A233B"/>
    <w:rsid w:val="002A39FC"/>
    <w:rsid w:val="002A5D8F"/>
    <w:rsid w:val="002B1C1E"/>
    <w:rsid w:val="002B2D6A"/>
    <w:rsid w:val="002B33C8"/>
    <w:rsid w:val="002B4DBD"/>
    <w:rsid w:val="002B54CC"/>
    <w:rsid w:val="002B6260"/>
    <w:rsid w:val="002B6A7F"/>
    <w:rsid w:val="002B78C0"/>
    <w:rsid w:val="002C0D9C"/>
    <w:rsid w:val="002C1180"/>
    <w:rsid w:val="002C1AAD"/>
    <w:rsid w:val="002C2D24"/>
    <w:rsid w:val="002C3C29"/>
    <w:rsid w:val="002C59AE"/>
    <w:rsid w:val="002C5E08"/>
    <w:rsid w:val="002C6D89"/>
    <w:rsid w:val="002C7F9D"/>
    <w:rsid w:val="002D3E73"/>
    <w:rsid w:val="002D55FC"/>
    <w:rsid w:val="002D789C"/>
    <w:rsid w:val="002D79C2"/>
    <w:rsid w:val="002E15D9"/>
    <w:rsid w:val="002E2E42"/>
    <w:rsid w:val="002E5768"/>
    <w:rsid w:val="002E694D"/>
    <w:rsid w:val="002E72D3"/>
    <w:rsid w:val="002E7CF2"/>
    <w:rsid w:val="002E7DA3"/>
    <w:rsid w:val="002F03FA"/>
    <w:rsid w:val="002F1404"/>
    <w:rsid w:val="002F4FE0"/>
    <w:rsid w:val="002F6B97"/>
    <w:rsid w:val="002F7A60"/>
    <w:rsid w:val="00303FE6"/>
    <w:rsid w:val="003050A4"/>
    <w:rsid w:val="00305CE4"/>
    <w:rsid w:val="00311480"/>
    <w:rsid w:val="00311FC0"/>
    <w:rsid w:val="003138FF"/>
    <w:rsid w:val="00313E51"/>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1362"/>
    <w:rsid w:val="0033412B"/>
    <w:rsid w:val="0033423D"/>
    <w:rsid w:val="003349E0"/>
    <w:rsid w:val="0033754A"/>
    <w:rsid w:val="00341118"/>
    <w:rsid w:val="00341752"/>
    <w:rsid w:val="00341E54"/>
    <w:rsid w:val="00342028"/>
    <w:rsid w:val="003424BE"/>
    <w:rsid w:val="00343403"/>
    <w:rsid w:val="0034367F"/>
    <w:rsid w:val="00346097"/>
    <w:rsid w:val="00346B94"/>
    <w:rsid w:val="00347498"/>
    <w:rsid w:val="00347797"/>
    <w:rsid w:val="00347AFC"/>
    <w:rsid w:val="00352439"/>
    <w:rsid w:val="00353F40"/>
    <w:rsid w:val="00356EB2"/>
    <w:rsid w:val="003609B3"/>
    <w:rsid w:val="00361314"/>
    <w:rsid w:val="00361370"/>
    <w:rsid w:val="00361F7E"/>
    <w:rsid w:val="003622E3"/>
    <w:rsid w:val="0036281C"/>
    <w:rsid w:val="00362E57"/>
    <w:rsid w:val="003656E0"/>
    <w:rsid w:val="00365901"/>
    <w:rsid w:val="00365CC7"/>
    <w:rsid w:val="003660E1"/>
    <w:rsid w:val="00367722"/>
    <w:rsid w:val="00372300"/>
    <w:rsid w:val="003725E5"/>
    <w:rsid w:val="00374F0D"/>
    <w:rsid w:val="00375A95"/>
    <w:rsid w:val="003768DC"/>
    <w:rsid w:val="0038397B"/>
    <w:rsid w:val="00386AE3"/>
    <w:rsid w:val="0038732E"/>
    <w:rsid w:val="003873C0"/>
    <w:rsid w:val="003904E1"/>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77"/>
    <w:rsid w:val="003A529A"/>
    <w:rsid w:val="003A62E5"/>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E1F"/>
    <w:rsid w:val="003E773C"/>
    <w:rsid w:val="003F0950"/>
    <w:rsid w:val="003F259B"/>
    <w:rsid w:val="003F2A6B"/>
    <w:rsid w:val="003F4006"/>
    <w:rsid w:val="003F4B20"/>
    <w:rsid w:val="003F51B4"/>
    <w:rsid w:val="003F62A2"/>
    <w:rsid w:val="003F7561"/>
    <w:rsid w:val="004023F3"/>
    <w:rsid w:val="00405DCF"/>
    <w:rsid w:val="00405E8D"/>
    <w:rsid w:val="00406E30"/>
    <w:rsid w:val="004102FF"/>
    <w:rsid w:val="00412651"/>
    <w:rsid w:val="004127C5"/>
    <w:rsid w:val="00413732"/>
    <w:rsid w:val="00414017"/>
    <w:rsid w:val="004149AE"/>
    <w:rsid w:val="00415E77"/>
    <w:rsid w:val="00416F1C"/>
    <w:rsid w:val="00425A76"/>
    <w:rsid w:val="00427E92"/>
    <w:rsid w:val="00430E94"/>
    <w:rsid w:val="00431CF2"/>
    <w:rsid w:val="00432B9C"/>
    <w:rsid w:val="004351D1"/>
    <w:rsid w:val="00435883"/>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7BA"/>
    <w:rsid w:val="0046458F"/>
    <w:rsid w:val="00464993"/>
    <w:rsid w:val="004649C5"/>
    <w:rsid w:val="00464C01"/>
    <w:rsid w:val="00465132"/>
    <w:rsid w:val="004663A7"/>
    <w:rsid w:val="00466977"/>
    <w:rsid w:val="00467F2C"/>
    <w:rsid w:val="00470A1A"/>
    <w:rsid w:val="0047150A"/>
    <w:rsid w:val="00472909"/>
    <w:rsid w:val="00474D1F"/>
    <w:rsid w:val="0047561A"/>
    <w:rsid w:val="00475829"/>
    <w:rsid w:val="004760AC"/>
    <w:rsid w:val="00481383"/>
    <w:rsid w:val="00481A5B"/>
    <w:rsid w:val="00481B18"/>
    <w:rsid w:val="00482C7D"/>
    <w:rsid w:val="00482DEA"/>
    <w:rsid w:val="00485172"/>
    <w:rsid w:val="00485E36"/>
    <w:rsid w:val="00486997"/>
    <w:rsid w:val="004909D7"/>
    <w:rsid w:val="00496FC8"/>
    <w:rsid w:val="00497DF9"/>
    <w:rsid w:val="004A0E98"/>
    <w:rsid w:val="004A218D"/>
    <w:rsid w:val="004A22EE"/>
    <w:rsid w:val="004A2D0D"/>
    <w:rsid w:val="004A30AA"/>
    <w:rsid w:val="004A3FC4"/>
    <w:rsid w:val="004A50B1"/>
    <w:rsid w:val="004A55A7"/>
    <w:rsid w:val="004A5E08"/>
    <w:rsid w:val="004A7816"/>
    <w:rsid w:val="004A79A4"/>
    <w:rsid w:val="004B029F"/>
    <w:rsid w:val="004B30E4"/>
    <w:rsid w:val="004B336B"/>
    <w:rsid w:val="004B5788"/>
    <w:rsid w:val="004B7231"/>
    <w:rsid w:val="004C2778"/>
    <w:rsid w:val="004C5AF0"/>
    <w:rsid w:val="004C6E22"/>
    <w:rsid w:val="004C7138"/>
    <w:rsid w:val="004C777A"/>
    <w:rsid w:val="004C7D34"/>
    <w:rsid w:val="004D041B"/>
    <w:rsid w:val="004D1854"/>
    <w:rsid w:val="004D3A14"/>
    <w:rsid w:val="004D47DB"/>
    <w:rsid w:val="004D5681"/>
    <w:rsid w:val="004E1DB3"/>
    <w:rsid w:val="004E2BFC"/>
    <w:rsid w:val="004E3EAE"/>
    <w:rsid w:val="004E408E"/>
    <w:rsid w:val="004E466C"/>
    <w:rsid w:val="004F034D"/>
    <w:rsid w:val="004F0871"/>
    <w:rsid w:val="004F0B18"/>
    <w:rsid w:val="004F24DF"/>
    <w:rsid w:val="004F4CF7"/>
    <w:rsid w:val="004F722E"/>
    <w:rsid w:val="004F7FBA"/>
    <w:rsid w:val="00500467"/>
    <w:rsid w:val="00501F7B"/>
    <w:rsid w:val="00504187"/>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5720"/>
    <w:rsid w:val="00536467"/>
    <w:rsid w:val="00537BCF"/>
    <w:rsid w:val="00541BD5"/>
    <w:rsid w:val="005429EB"/>
    <w:rsid w:val="00542DE7"/>
    <w:rsid w:val="00544B0F"/>
    <w:rsid w:val="0054565E"/>
    <w:rsid w:val="005472EC"/>
    <w:rsid w:val="005473BB"/>
    <w:rsid w:val="00551545"/>
    <w:rsid w:val="005516D0"/>
    <w:rsid w:val="005538F7"/>
    <w:rsid w:val="00554C8E"/>
    <w:rsid w:val="00554D54"/>
    <w:rsid w:val="00555D2D"/>
    <w:rsid w:val="00556FB5"/>
    <w:rsid w:val="005570F8"/>
    <w:rsid w:val="00560EEC"/>
    <w:rsid w:val="00562D80"/>
    <w:rsid w:val="0056315C"/>
    <w:rsid w:val="005631A7"/>
    <w:rsid w:val="00565EC1"/>
    <w:rsid w:val="005669A1"/>
    <w:rsid w:val="005703E1"/>
    <w:rsid w:val="0057142A"/>
    <w:rsid w:val="00573EC6"/>
    <w:rsid w:val="0057402B"/>
    <w:rsid w:val="005743D5"/>
    <w:rsid w:val="00577EA2"/>
    <w:rsid w:val="00580532"/>
    <w:rsid w:val="0058498B"/>
    <w:rsid w:val="00584EC1"/>
    <w:rsid w:val="005864AC"/>
    <w:rsid w:val="00597892"/>
    <w:rsid w:val="005A1A20"/>
    <w:rsid w:val="005A2F1F"/>
    <w:rsid w:val="005A3385"/>
    <w:rsid w:val="005A3D25"/>
    <w:rsid w:val="005A3EC5"/>
    <w:rsid w:val="005A41C1"/>
    <w:rsid w:val="005A4263"/>
    <w:rsid w:val="005A653D"/>
    <w:rsid w:val="005A7870"/>
    <w:rsid w:val="005B0B6E"/>
    <w:rsid w:val="005B1107"/>
    <w:rsid w:val="005B29DF"/>
    <w:rsid w:val="005B30FA"/>
    <w:rsid w:val="005B4485"/>
    <w:rsid w:val="005B4EBA"/>
    <w:rsid w:val="005B7569"/>
    <w:rsid w:val="005B7EE0"/>
    <w:rsid w:val="005C1E46"/>
    <w:rsid w:val="005C4248"/>
    <w:rsid w:val="005C4641"/>
    <w:rsid w:val="005C4A24"/>
    <w:rsid w:val="005C772C"/>
    <w:rsid w:val="005D2A2E"/>
    <w:rsid w:val="005D385B"/>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06B9E"/>
    <w:rsid w:val="00612410"/>
    <w:rsid w:val="00612CA8"/>
    <w:rsid w:val="006142D3"/>
    <w:rsid w:val="00614D81"/>
    <w:rsid w:val="00614DE8"/>
    <w:rsid w:val="006163D4"/>
    <w:rsid w:val="00621435"/>
    <w:rsid w:val="006215B2"/>
    <w:rsid w:val="00621EB8"/>
    <w:rsid w:val="00622993"/>
    <w:rsid w:val="00622CFF"/>
    <w:rsid w:val="0062493E"/>
    <w:rsid w:val="00625883"/>
    <w:rsid w:val="006258B6"/>
    <w:rsid w:val="00630006"/>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46CD6"/>
    <w:rsid w:val="00651D0E"/>
    <w:rsid w:val="00652D4B"/>
    <w:rsid w:val="0065388B"/>
    <w:rsid w:val="006544E5"/>
    <w:rsid w:val="006623BD"/>
    <w:rsid w:val="006635C7"/>
    <w:rsid w:val="00665EED"/>
    <w:rsid w:val="006670D5"/>
    <w:rsid w:val="006716E7"/>
    <w:rsid w:val="00671CBF"/>
    <w:rsid w:val="00673DAC"/>
    <w:rsid w:val="006744FA"/>
    <w:rsid w:val="00676B2E"/>
    <w:rsid w:val="00677260"/>
    <w:rsid w:val="006778CB"/>
    <w:rsid w:val="00682CDD"/>
    <w:rsid w:val="00683936"/>
    <w:rsid w:val="00686505"/>
    <w:rsid w:val="006936D0"/>
    <w:rsid w:val="00695248"/>
    <w:rsid w:val="006965AB"/>
    <w:rsid w:val="00697207"/>
    <w:rsid w:val="006A0C58"/>
    <w:rsid w:val="006A0F32"/>
    <w:rsid w:val="006A1945"/>
    <w:rsid w:val="006A1E24"/>
    <w:rsid w:val="006A37FA"/>
    <w:rsid w:val="006A4EE4"/>
    <w:rsid w:val="006A7238"/>
    <w:rsid w:val="006B106E"/>
    <w:rsid w:val="006B2464"/>
    <w:rsid w:val="006B36D3"/>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16BC"/>
    <w:rsid w:val="006D2FFF"/>
    <w:rsid w:val="006D51B6"/>
    <w:rsid w:val="006D6B7D"/>
    <w:rsid w:val="006D6BE8"/>
    <w:rsid w:val="006D6F26"/>
    <w:rsid w:val="006E04F7"/>
    <w:rsid w:val="006E18A0"/>
    <w:rsid w:val="006E2709"/>
    <w:rsid w:val="006E41FC"/>
    <w:rsid w:val="006E6518"/>
    <w:rsid w:val="006F036C"/>
    <w:rsid w:val="006F1200"/>
    <w:rsid w:val="006F28BC"/>
    <w:rsid w:val="006F5063"/>
    <w:rsid w:val="006F647D"/>
    <w:rsid w:val="007002A8"/>
    <w:rsid w:val="007003CE"/>
    <w:rsid w:val="0070170D"/>
    <w:rsid w:val="00703654"/>
    <w:rsid w:val="0070413D"/>
    <w:rsid w:val="00704A41"/>
    <w:rsid w:val="00704D3E"/>
    <w:rsid w:val="00704E01"/>
    <w:rsid w:val="00705C6A"/>
    <w:rsid w:val="007060F5"/>
    <w:rsid w:val="0070625E"/>
    <w:rsid w:val="00707DF6"/>
    <w:rsid w:val="00711FED"/>
    <w:rsid w:val="00712956"/>
    <w:rsid w:val="00712A61"/>
    <w:rsid w:val="007148DE"/>
    <w:rsid w:val="00716ECB"/>
    <w:rsid w:val="00720CC2"/>
    <w:rsid w:val="00721B9E"/>
    <w:rsid w:val="0072208D"/>
    <w:rsid w:val="00724DD1"/>
    <w:rsid w:val="00726509"/>
    <w:rsid w:val="00726797"/>
    <w:rsid w:val="00732E9D"/>
    <w:rsid w:val="00733C82"/>
    <w:rsid w:val="00733E8A"/>
    <w:rsid w:val="00734C12"/>
    <w:rsid w:val="00736343"/>
    <w:rsid w:val="007402CC"/>
    <w:rsid w:val="007404FF"/>
    <w:rsid w:val="00743935"/>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3B88"/>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92E"/>
    <w:rsid w:val="00787AC4"/>
    <w:rsid w:val="00791B4A"/>
    <w:rsid w:val="00791B89"/>
    <w:rsid w:val="00792FE1"/>
    <w:rsid w:val="007938BD"/>
    <w:rsid w:val="00793DD4"/>
    <w:rsid w:val="007946A2"/>
    <w:rsid w:val="007946BA"/>
    <w:rsid w:val="00795378"/>
    <w:rsid w:val="007A02E9"/>
    <w:rsid w:val="007A1171"/>
    <w:rsid w:val="007A2356"/>
    <w:rsid w:val="007A31ED"/>
    <w:rsid w:val="007B2CD0"/>
    <w:rsid w:val="007B35D8"/>
    <w:rsid w:val="007B5E30"/>
    <w:rsid w:val="007B6479"/>
    <w:rsid w:val="007B720E"/>
    <w:rsid w:val="007C0BF0"/>
    <w:rsid w:val="007C2620"/>
    <w:rsid w:val="007C3507"/>
    <w:rsid w:val="007C3ED0"/>
    <w:rsid w:val="007C518A"/>
    <w:rsid w:val="007C620F"/>
    <w:rsid w:val="007D1E15"/>
    <w:rsid w:val="007D2153"/>
    <w:rsid w:val="007D395A"/>
    <w:rsid w:val="007D39C7"/>
    <w:rsid w:val="007D3DFB"/>
    <w:rsid w:val="007D4199"/>
    <w:rsid w:val="007E0A33"/>
    <w:rsid w:val="007E4283"/>
    <w:rsid w:val="007E45FD"/>
    <w:rsid w:val="007E5165"/>
    <w:rsid w:val="007F0448"/>
    <w:rsid w:val="007F0D0C"/>
    <w:rsid w:val="007F13F3"/>
    <w:rsid w:val="007F1C3B"/>
    <w:rsid w:val="007F1E9E"/>
    <w:rsid w:val="007F24D7"/>
    <w:rsid w:val="007F2C42"/>
    <w:rsid w:val="007F4831"/>
    <w:rsid w:val="007F4F3D"/>
    <w:rsid w:val="007F7E6D"/>
    <w:rsid w:val="008009AE"/>
    <w:rsid w:val="008057A0"/>
    <w:rsid w:val="00812349"/>
    <w:rsid w:val="00812A0C"/>
    <w:rsid w:val="00812A16"/>
    <w:rsid w:val="00813037"/>
    <w:rsid w:val="00814441"/>
    <w:rsid w:val="00814622"/>
    <w:rsid w:val="00815B16"/>
    <w:rsid w:val="00815B1D"/>
    <w:rsid w:val="00816FBE"/>
    <w:rsid w:val="00817990"/>
    <w:rsid w:val="00821849"/>
    <w:rsid w:val="00821F59"/>
    <w:rsid w:val="00822715"/>
    <w:rsid w:val="008230EF"/>
    <w:rsid w:val="008244F4"/>
    <w:rsid w:val="0082453D"/>
    <w:rsid w:val="00824B34"/>
    <w:rsid w:val="00824F8E"/>
    <w:rsid w:val="008254EE"/>
    <w:rsid w:val="00825C8D"/>
    <w:rsid w:val="0082633A"/>
    <w:rsid w:val="008268B2"/>
    <w:rsid w:val="00826BBC"/>
    <w:rsid w:val="00827056"/>
    <w:rsid w:val="008311CA"/>
    <w:rsid w:val="00831CD9"/>
    <w:rsid w:val="00831DFF"/>
    <w:rsid w:val="00832A68"/>
    <w:rsid w:val="0083537D"/>
    <w:rsid w:val="008364CC"/>
    <w:rsid w:val="00836FDE"/>
    <w:rsid w:val="00837023"/>
    <w:rsid w:val="008404D6"/>
    <w:rsid w:val="00841D3E"/>
    <w:rsid w:val="008425DA"/>
    <w:rsid w:val="0084466D"/>
    <w:rsid w:val="00845A49"/>
    <w:rsid w:val="00846111"/>
    <w:rsid w:val="00846BBC"/>
    <w:rsid w:val="00846F2F"/>
    <w:rsid w:val="00847704"/>
    <w:rsid w:val="00847DCA"/>
    <w:rsid w:val="0085064A"/>
    <w:rsid w:val="008521F4"/>
    <w:rsid w:val="00852982"/>
    <w:rsid w:val="00852C5B"/>
    <w:rsid w:val="00855067"/>
    <w:rsid w:val="00855289"/>
    <w:rsid w:val="0085652F"/>
    <w:rsid w:val="00857C68"/>
    <w:rsid w:val="008604A0"/>
    <w:rsid w:val="00861FD9"/>
    <w:rsid w:val="00864E79"/>
    <w:rsid w:val="0086586F"/>
    <w:rsid w:val="00867ACB"/>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93CFB"/>
    <w:rsid w:val="0089686E"/>
    <w:rsid w:val="00896FAB"/>
    <w:rsid w:val="00897365"/>
    <w:rsid w:val="008978A5"/>
    <w:rsid w:val="008A1140"/>
    <w:rsid w:val="008A1784"/>
    <w:rsid w:val="008A2788"/>
    <w:rsid w:val="008A5845"/>
    <w:rsid w:val="008A713B"/>
    <w:rsid w:val="008B03EC"/>
    <w:rsid w:val="008B2915"/>
    <w:rsid w:val="008B315D"/>
    <w:rsid w:val="008B6012"/>
    <w:rsid w:val="008B7CD6"/>
    <w:rsid w:val="008C017E"/>
    <w:rsid w:val="008C14F2"/>
    <w:rsid w:val="008C4032"/>
    <w:rsid w:val="008C4551"/>
    <w:rsid w:val="008C5750"/>
    <w:rsid w:val="008C5896"/>
    <w:rsid w:val="008C66FA"/>
    <w:rsid w:val="008C681D"/>
    <w:rsid w:val="008C6BC7"/>
    <w:rsid w:val="008C7765"/>
    <w:rsid w:val="008C7A14"/>
    <w:rsid w:val="008C7D9F"/>
    <w:rsid w:val="008D0171"/>
    <w:rsid w:val="008D4DB3"/>
    <w:rsid w:val="008D513C"/>
    <w:rsid w:val="008D5213"/>
    <w:rsid w:val="008D5B81"/>
    <w:rsid w:val="008E009A"/>
    <w:rsid w:val="008E192E"/>
    <w:rsid w:val="008E250D"/>
    <w:rsid w:val="008E43C1"/>
    <w:rsid w:val="008E795D"/>
    <w:rsid w:val="008F2D7C"/>
    <w:rsid w:val="008F3E4F"/>
    <w:rsid w:val="008F47BC"/>
    <w:rsid w:val="008F53C5"/>
    <w:rsid w:val="008F614D"/>
    <w:rsid w:val="008F69FD"/>
    <w:rsid w:val="008F6EA5"/>
    <w:rsid w:val="0090279C"/>
    <w:rsid w:val="00903F81"/>
    <w:rsid w:val="009042DA"/>
    <w:rsid w:val="009049B7"/>
    <w:rsid w:val="00904FE6"/>
    <w:rsid w:val="00905F9C"/>
    <w:rsid w:val="00906F9E"/>
    <w:rsid w:val="00910017"/>
    <w:rsid w:val="0091362E"/>
    <w:rsid w:val="009140A8"/>
    <w:rsid w:val="00916657"/>
    <w:rsid w:val="00920286"/>
    <w:rsid w:val="00920A57"/>
    <w:rsid w:val="00923BAE"/>
    <w:rsid w:val="009256FF"/>
    <w:rsid w:val="0093007D"/>
    <w:rsid w:val="00930759"/>
    <w:rsid w:val="00930F0E"/>
    <w:rsid w:val="0093187E"/>
    <w:rsid w:val="00932841"/>
    <w:rsid w:val="009349F4"/>
    <w:rsid w:val="00935B78"/>
    <w:rsid w:val="00936AA2"/>
    <w:rsid w:val="0094240C"/>
    <w:rsid w:val="00942CB3"/>
    <w:rsid w:val="009437BA"/>
    <w:rsid w:val="0094391C"/>
    <w:rsid w:val="009460B0"/>
    <w:rsid w:val="00946F3C"/>
    <w:rsid w:val="00947633"/>
    <w:rsid w:val="00950190"/>
    <w:rsid w:val="009501E2"/>
    <w:rsid w:val="00952619"/>
    <w:rsid w:val="00954632"/>
    <w:rsid w:val="00954752"/>
    <w:rsid w:val="0095599D"/>
    <w:rsid w:val="009576DA"/>
    <w:rsid w:val="00960004"/>
    <w:rsid w:val="00964D37"/>
    <w:rsid w:val="009660DB"/>
    <w:rsid w:val="00966FAB"/>
    <w:rsid w:val="00967550"/>
    <w:rsid w:val="00970DBC"/>
    <w:rsid w:val="0097218D"/>
    <w:rsid w:val="00972D48"/>
    <w:rsid w:val="00972FDA"/>
    <w:rsid w:val="009744AE"/>
    <w:rsid w:val="00974771"/>
    <w:rsid w:val="00975202"/>
    <w:rsid w:val="0097710A"/>
    <w:rsid w:val="009812DA"/>
    <w:rsid w:val="0098421C"/>
    <w:rsid w:val="009848CB"/>
    <w:rsid w:val="00984BA9"/>
    <w:rsid w:val="00984C10"/>
    <w:rsid w:val="0098529A"/>
    <w:rsid w:val="009857E4"/>
    <w:rsid w:val="009865F8"/>
    <w:rsid w:val="009908CB"/>
    <w:rsid w:val="00993F64"/>
    <w:rsid w:val="00994990"/>
    <w:rsid w:val="009956B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C152A"/>
    <w:rsid w:val="009C232A"/>
    <w:rsid w:val="009C2C33"/>
    <w:rsid w:val="009C3C62"/>
    <w:rsid w:val="009C523A"/>
    <w:rsid w:val="009C66C1"/>
    <w:rsid w:val="009D0BAC"/>
    <w:rsid w:val="009D131C"/>
    <w:rsid w:val="009D155D"/>
    <w:rsid w:val="009D34C4"/>
    <w:rsid w:val="009D3E75"/>
    <w:rsid w:val="009D5E54"/>
    <w:rsid w:val="009D69DD"/>
    <w:rsid w:val="009D7E03"/>
    <w:rsid w:val="009E1716"/>
    <w:rsid w:val="009E4840"/>
    <w:rsid w:val="009E4ADC"/>
    <w:rsid w:val="009E55EB"/>
    <w:rsid w:val="009E670C"/>
    <w:rsid w:val="009E77BA"/>
    <w:rsid w:val="009E7E65"/>
    <w:rsid w:val="009F0430"/>
    <w:rsid w:val="009F21E2"/>
    <w:rsid w:val="009F32B3"/>
    <w:rsid w:val="009F4EA5"/>
    <w:rsid w:val="009F6B57"/>
    <w:rsid w:val="009F6EB4"/>
    <w:rsid w:val="009F7790"/>
    <w:rsid w:val="00A04A03"/>
    <w:rsid w:val="00A056ED"/>
    <w:rsid w:val="00A06345"/>
    <w:rsid w:val="00A066BC"/>
    <w:rsid w:val="00A069A5"/>
    <w:rsid w:val="00A117EE"/>
    <w:rsid w:val="00A12D3B"/>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0D76"/>
    <w:rsid w:val="00A4198B"/>
    <w:rsid w:val="00A42390"/>
    <w:rsid w:val="00A43DB5"/>
    <w:rsid w:val="00A45E2F"/>
    <w:rsid w:val="00A522AC"/>
    <w:rsid w:val="00A5480D"/>
    <w:rsid w:val="00A57567"/>
    <w:rsid w:val="00A57F37"/>
    <w:rsid w:val="00A62B11"/>
    <w:rsid w:val="00A714A0"/>
    <w:rsid w:val="00A73782"/>
    <w:rsid w:val="00A73D50"/>
    <w:rsid w:val="00A74F7C"/>
    <w:rsid w:val="00A75BA1"/>
    <w:rsid w:val="00A77F87"/>
    <w:rsid w:val="00A810D3"/>
    <w:rsid w:val="00A8129E"/>
    <w:rsid w:val="00A81AEF"/>
    <w:rsid w:val="00A82304"/>
    <w:rsid w:val="00A82C8E"/>
    <w:rsid w:val="00A83DEB"/>
    <w:rsid w:val="00A86075"/>
    <w:rsid w:val="00A865DD"/>
    <w:rsid w:val="00A86647"/>
    <w:rsid w:val="00A90C0D"/>
    <w:rsid w:val="00A90D67"/>
    <w:rsid w:val="00A92332"/>
    <w:rsid w:val="00A941BC"/>
    <w:rsid w:val="00A944D1"/>
    <w:rsid w:val="00A944F0"/>
    <w:rsid w:val="00A956E8"/>
    <w:rsid w:val="00AA0F57"/>
    <w:rsid w:val="00AA1161"/>
    <w:rsid w:val="00AA3390"/>
    <w:rsid w:val="00AA3FA3"/>
    <w:rsid w:val="00AA4DDD"/>
    <w:rsid w:val="00AA7597"/>
    <w:rsid w:val="00AB2680"/>
    <w:rsid w:val="00AB5959"/>
    <w:rsid w:val="00AB7965"/>
    <w:rsid w:val="00AB7C1B"/>
    <w:rsid w:val="00AC124E"/>
    <w:rsid w:val="00AC3C57"/>
    <w:rsid w:val="00AC3E57"/>
    <w:rsid w:val="00AC55E6"/>
    <w:rsid w:val="00AC6B62"/>
    <w:rsid w:val="00AC7EA6"/>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204F"/>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07249"/>
    <w:rsid w:val="00B07D35"/>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3DC3"/>
    <w:rsid w:val="00B34BF4"/>
    <w:rsid w:val="00B34D64"/>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F2D"/>
    <w:rsid w:val="00B70370"/>
    <w:rsid w:val="00B70A97"/>
    <w:rsid w:val="00B719B8"/>
    <w:rsid w:val="00B73258"/>
    <w:rsid w:val="00B7334C"/>
    <w:rsid w:val="00B73EC8"/>
    <w:rsid w:val="00B746FB"/>
    <w:rsid w:val="00B757AD"/>
    <w:rsid w:val="00B77E3E"/>
    <w:rsid w:val="00B81633"/>
    <w:rsid w:val="00B82CA5"/>
    <w:rsid w:val="00B831CE"/>
    <w:rsid w:val="00B8510E"/>
    <w:rsid w:val="00B85423"/>
    <w:rsid w:val="00B8576A"/>
    <w:rsid w:val="00B8580E"/>
    <w:rsid w:val="00B8598F"/>
    <w:rsid w:val="00B85D3C"/>
    <w:rsid w:val="00B85F84"/>
    <w:rsid w:val="00B86AF8"/>
    <w:rsid w:val="00B86E5C"/>
    <w:rsid w:val="00B876D1"/>
    <w:rsid w:val="00B87AF8"/>
    <w:rsid w:val="00B917B3"/>
    <w:rsid w:val="00B91B99"/>
    <w:rsid w:val="00B93AD6"/>
    <w:rsid w:val="00B93E68"/>
    <w:rsid w:val="00B943B9"/>
    <w:rsid w:val="00B94D67"/>
    <w:rsid w:val="00BA0824"/>
    <w:rsid w:val="00BA32EF"/>
    <w:rsid w:val="00BA4D76"/>
    <w:rsid w:val="00BA5BCF"/>
    <w:rsid w:val="00BA65B1"/>
    <w:rsid w:val="00BB1F94"/>
    <w:rsid w:val="00BB73A5"/>
    <w:rsid w:val="00BB765B"/>
    <w:rsid w:val="00BC06D9"/>
    <w:rsid w:val="00BC16BB"/>
    <w:rsid w:val="00BC3C23"/>
    <w:rsid w:val="00BC4B96"/>
    <w:rsid w:val="00BC4DA1"/>
    <w:rsid w:val="00BC4DF9"/>
    <w:rsid w:val="00BC634D"/>
    <w:rsid w:val="00BD0CB6"/>
    <w:rsid w:val="00BD1E5A"/>
    <w:rsid w:val="00BD2FB5"/>
    <w:rsid w:val="00BD33D6"/>
    <w:rsid w:val="00BD5E0C"/>
    <w:rsid w:val="00BD6698"/>
    <w:rsid w:val="00BD6B94"/>
    <w:rsid w:val="00BD6F59"/>
    <w:rsid w:val="00BD7136"/>
    <w:rsid w:val="00BE06C7"/>
    <w:rsid w:val="00BE0E46"/>
    <w:rsid w:val="00BE1007"/>
    <w:rsid w:val="00BE1AA2"/>
    <w:rsid w:val="00BE22E6"/>
    <w:rsid w:val="00BE58E1"/>
    <w:rsid w:val="00BE595B"/>
    <w:rsid w:val="00BE69ED"/>
    <w:rsid w:val="00BE6C6D"/>
    <w:rsid w:val="00BE77D0"/>
    <w:rsid w:val="00BE7825"/>
    <w:rsid w:val="00BE7E0B"/>
    <w:rsid w:val="00BF0CC7"/>
    <w:rsid w:val="00BF1DD5"/>
    <w:rsid w:val="00BF48F4"/>
    <w:rsid w:val="00BF5D60"/>
    <w:rsid w:val="00C00BC7"/>
    <w:rsid w:val="00C01E31"/>
    <w:rsid w:val="00C02624"/>
    <w:rsid w:val="00C049DF"/>
    <w:rsid w:val="00C04C17"/>
    <w:rsid w:val="00C116D7"/>
    <w:rsid w:val="00C133B8"/>
    <w:rsid w:val="00C16CCC"/>
    <w:rsid w:val="00C16E2D"/>
    <w:rsid w:val="00C23111"/>
    <w:rsid w:val="00C2573A"/>
    <w:rsid w:val="00C31767"/>
    <w:rsid w:val="00C34A7D"/>
    <w:rsid w:val="00C34ECC"/>
    <w:rsid w:val="00C37657"/>
    <w:rsid w:val="00C40E36"/>
    <w:rsid w:val="00C430D4"/>
    <w:rsid w:val="00C44C40"/>
    <w:rsid w:val="00C466BD"/>
    <w:rsid w:val="00C50B2A"/>
    <w:rsid w:val="00C563E0"/>
    <w:rsid w:val="00C567F8"/>
    <w:rsid w:val="00C573B2"/>
    <w:rsid w:val="00C6021C"/>
    <w:rsid w:val="00C614B8"/>
    <w:rsid w:val="00C62303"/>
    <w:rsid w:val="00C64CC5"/>
    <w:rsid w:val="00C66254"/>
    <w:rsid w:val="00C71191"/>
    <w:rsid w:val="00C71EE3"/>
    <w:rsid w:val="00C7273A"/>
    <w:rsid w:val="00C735A9"/>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6AE3"/>
    <w:rsid w:val="00CA7AF9"/>
    <w:rsid w:val="00CA7D49"/>
    <w:rsid w:val="00CB049B"/>
    <w:rsid w:val="00CB1834"/>
    <w:rsid w:val="00CB5635"/>
    <w:rsid w:val="00CC2F49"/>
    <w:rsid w:val="00CC3FD7"/>
    <w:rsid w:val="00CC4955"/>
    <w:rsid w:val="00CD0C74"/>
    <w:rsid w:val="00CD1036"/>
    <w:rsid w:val="00CD127E"/>
    <w:rsid w:val="00CD21AF"/>
    <w:rsid w:val="00CD4C58"/>
    <w:rsid w:val="00CD4E83"/>
    <w:rsid w:val="00CD5430"/>
    <w:rsid w:val="00CD65AF"/>
    <w:rsid w:val="00CE1022"/>
    <w:rsid w:val="00CE11EF"/>
    <w:rsid w:val="00CE1F1F"/>
    <w:rsid w:val="00CE29AE"/>
    <w:rsid w:val="00CE6DA9"/>
    <w:rsid w:val="00CE7038"/>
    <w:rsid w:val="00CF1667"/>
    <w:rsid w:val="00CF6185"/>
    <w:rsid w:val="00CF7809"/>
    <w:rsid w:val="00D028F8"/>
    <w:rsid w:val="00D02CC5"/>
    <w:rsid w:val="00D05496"/>
    <w:rsid w:val="00D10466"/>
    <w:rsid w:val="00D1430A"/>
    <w:rsid w:val="00D15207"/>
    <w:rsid w:val="00D16AB4"/>
    <w:rsid w:val="00D20318"/>
    <w:rsid w:val="00D20F8E"/>
    <w:rsid w:val="00D22660"/>
    <w:rsid w:val="00D22ACF"/>
    <w:rsid w:val="00D235D1"/>
    <w:rsid w:val="00D24728"/>
    <w:rsid w:val="00D24CB4"/>
    <w:rsid w:val="00D257EE"/>
    <w:rsid w:val="00D25B9A"/>
    <w:rsid w:val="00D26BEF"/>
    <w:rsid w:val="00D34A02"/>
    <w:rsid w:val="00D35517"/>
    <w:rsid w:val="00D44885"/>
    <w:rsid w:val="00D47746"/>
    <w:rsid w:val="00D5082E"/>
    <w:rsid w:val="00D51A94"/>
    <w:rsid w:val="00D54F3F"/>
    <w:rsid w:val="00D55715"/>
    <w:rsid w:val="00D57FD1"/>
    <w:rsid w:val="00D60460"/>
    <w:rsid w:val="00D63524"/>
    <w:rsid w:val="00D6480F"/>
    <w:rsid w:val="00D654B2"/>
    <w:rsid w:val="00D656B0"/>
    <w:rsid w:val="00D67F15"/>
    <w:rsid w:val="00D7039A"/>
    <w:rsid w:val="00D7138D"/>
    <w:rsid w:val="00D71B04"/>
    <w:rsid w:val="00D72429"/>
    <w:rsid w:val="00D72A61"/>
    <w:rsid w:val="00D73763"/>
    <w:rsid w:val="00D74962"/>
    <w:rsid w:val="00D7510E"/>
    <w:rsid w:val="00D75635"/>
    <w:rsid w:val="00D760C5"/>
    <w:rsid w:val="00D81C55"/>
    <w:rsid w:val="00D87404"/>
    <w:rsid w:val="00D90F56"/>
    <w:rsid w:val="00D91466"/>
    <w:rsid w:val="00D95382"/>
    <w:rsid w:val="00D96B60"/>
    <w:rsid w:val="00D96BA1"/>
    <w:rsid w:val="00DA4149"/>
    <w:rsid w:val="00DA68B2"/>
    <w:rsid w:val="00DA6E94"/>
    <w:rsid w:val="00DA7349"/>
    <w:rsid w:val="00DB02E2"/>
    <w:rsid w:val="00DB0FC0"/>
    <w:rsid w:val="00DB1032"/>
    <w:rsid w:val="00DB11BC"/>
    <w:rsid w:val="00DB3450"/>
    <w:rsid w:val="00DB3B6A"/>
    <w:rsid w:val="00DB4D74"/>
    <w:rsid w:val="00DB5691"/>
    <w:rsid w:val="00DB64D7"/>
    <w:rsid w:val="00DC17E7"/>
    <w:rsid w:val="00DC2553"/>
    <w:rsid w:val="00DC2B91"/>
    <w:rsid w:val="00DC33BF"/>
    <w:rsid w:val="00DC3AF9"/>
    <w:rsid w:val="00DC789B"/>
    <w:rsid w:val="00DD60F1"/>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4C4B"/>
    <w:rsid w:val="00E0621F"/>
    <w:rsid w:val="00E106CF"/>
    <w:rsid w:val="00E116F8"/>
    <w:rsid w:val="00E12FAD"/>
    <w:rsid w:val="00E132B6"/>
    <w:rsid w:val="00E135AB"/>
    <w:rsid w:val="00E1386E"/>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52AA"/>
    <w:rsid w:val="00E363DE"/>
    <w:rsid w:val="00E36AB1"/>
    <w:rsid w:val="00E36E34"/>
    <w:rsid w:val="00E40001"/>
    <w:rsid w:val="00E40380"/>
    <w:rsid w:val="00E40E69"/>
    <w:rsid w:val="00E41130"/>
    <w:rsid w:val="00E411AB"/>
    <w:rsid w:val="00E428E6"/>
    <w:rsid w:val="00E430A5"/>
    <w:rsid w:val="00E431D3"/>
    <w:rsid w:val="00E432DA"/>
    <w:rsid w:val="00E44A5B"/>
    <w:rsid w:val="00E45F72"/>
    <w:rsid w:val="00E513E6"/>
    <w:rsid w:val="00E528C6"/>
    <w:rsid w:val="00E55672"/>
    <w:rsid w:val="00E55E11"/>
    <w:rsid w:val="00E56D99"/>
    <w:rsid w:val="00E5768A"/>
    <w:rsid w:val="00E57C57"/>
    <w:rsid w:val="00E6063B"/>
    <w:rsid w:val="00E609BF"/>
    <w:rsid w:val="00E611CF"/>
    <w:rsid w:val="00E6159A"/>
    <w:rsid w:val="00E620FC"/>
    <w:rsid w:val="00E649FC"/>
    <w:rsid w:val="00E66A15"/>
    <w:rsid w:val="00E70145"/>
    <w:rsid w:val="00E70979"/>
    <w:rsid w:val="00E71505"/>
    <w:rsid w:val="00E71F55"/>
    <w:rsid w:val="00E74772"/>
    <w:rsid w:val="00E7511A"/>
    <w:rsid w:val="00E7638B"/>
    <w:rsid w:val="00E8062A"/>
    <w:rsid w:val="00E815E9"/>
    <w:rsid w:val="00E8177B"/>
    <w:rsid w:val="00E82346"/>
    <w:rsid w:val="00E86DA5"/>
    <w:rsid w:val="00E932BC"/>
    <w:rsid w:val="00E934B3"/>
    <w:rsid w:val="00E9417A"/>
    <w:rsid w:val="00E955C2"/>
    <w:rsid w:val="00E96A33"/>
    <w:rsid w:val="00EA1385"/>
    <w:rsid w:val="00EA15C0"/>
    <w:rsid w:val="00EA1F11"/>
    <w:rsid w:val="00EA4D8E"/>
    <w:rsid w:val="00EA4E80"/>
    <w:rsid w:val="00EA62CA"/>
    <w:rsid w:val="00EA6B65"/>
    <w:rsid w:val="00EA7D57"/>
    <w:rsid w:val="00EB0D9D"/>
    <w:rsid w:val="00EB119D"/>
    <w:rsid w:val="00EB1DDC"/>
    <w:rsid w:val="00EB3DA5"/>
    <w:rsid w:val="00EB5478"/>
    <w:rsid w:val="00EB5703"/>
    <w:rsid w:val="00EB6CDC"/>
    <w:rsid w:val="00EB71AE"/>
    <w:rsid w:val="00EB7592"/>
    <w:rsid w:val="00EC04D8"/>
    <w:rsid w:val="00EC0DF7"/>
    <w:rsid w:val="00EC26CD"/>
    <w:rsid w:val="00EC3EEB"/>
    <w:rsid w:val="00EC5CBB"/>
    <w:rsid w:val="00ED0514"/>
    <w:rsid w:val="00ED0D42"/>
    <w:rsid w:val="00ED1315"/>
    <w:rsid w:val="00ED1B70"/>
    <w:rsid w:val="00ED1E68"/>
    <w:rsid w:val="00ED391D"/>
    <w:rsid w:val="00ED4486"/>
    <w:rsid w:val="00ED465E"/>
    <w:rsid w:val="00ED4809"/>
    <w:rsid w:val="00ED4C5F"/>
    <w:rsid w:val="00ED4DB4"/>
    <w:rsid w:val="00ED67C9"/>
    <w:rsid w:val="00EE0144"/>
    <w:rsid w:val="00EE01EC"/>
    <w:rsid w:val="00EE4220"/>
    <w:rsid w:val="00EE4A7F"/>
    <w:rsid w:val="00EE6296"/>
    <w:rsid w:val="00EF218C"/>
    <w:rsid w:val="00EF364F"/>
    <w:rsid w:val="00EF6691"/>
    <w:rsid w:val="00EF732F"/>
    <w:rsid w:val="00F01A24"/>
    <w:rsid w:val="00F0572C"/>
    <w:rsid w:val="00F10AD8"/>
    <w:rsid w:val="00F10D10"/>
    <w:rsid w:val="00F12563"/>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0A38"/>
    <w:rsid w:val="00F452B9"/>
    <w:rsid w:val="00F47627"/>
    <w:rsid w:val="00F50197"/>
    <w:rsid w:val="00F50AF2"/>
    <w:rsid w:val="00F51AF8"/>
    <w:rsid w:val="00F550DB"/>
    <w:rsid w:val="00F55CE1"/>
    <w:rsid w:val="00F57B55"/>
    <w:rsid w:val="00F61F3A"/>
    <w:rsid w:val="00F62116"/>
    <w:rsid w:val="00F64D27"/>
    <w:rsid w:val="00F660CF"/>
    <w:rsid w:val="00F661D3"/>
    <w:rsid w:val="00F71134"/>
    <w:rsid w:val="00F72720"/>
    <w:rsid w:val="00F72E36"/>
    <w:rsid w:val="00F73E4D"/>
    <w:rsid w:val="00F73E5D"/>
    <w:rsid w:val="00F751A7"/>
    <w:rsid w:val="00F8013F"/>
    <w:rsid w:val="00F803EB"/>
    <w:rsid w:val="00F82A14"/>
    <w:rsid w:val="00F82FB2"/>
    <w:rsid w:val="00F8428E"/>
    <w:rsid w:val="00F84889"/>
    <w:rsid w:val="00F84A91"/>
    <w:rsid w:val="00F84E0C"/>
    <w:rsid w:val="00F85244"/>
    <w:rsid w:val="00F86993"/>
    <w:rsid w:val="00F90C51"/>
    <w:rsid w:val="00F90DB8"/>
    <w:rsid w:val="00F91368"/>
    <w:rsid w:val="00F9557C"/>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58E1"/>
    <w:rsid w:val="00FB606C"/>
    <w:rsid w:val="00FB6D92"/>
    <w:rsid w:val="00FC10EE"/>
    <w:rsid w:val="00FC177B"/>
    <w:rsid w:val="00FC33F2"/>
    <w:rsid w:val="00FC4E64"/>
    <w:rsid w:val="00FC5737"/>
    <w:rsid w:val="00FC61C3"/>
    <w:rsid w:val="00FD2208"/>
    <w:rsid w:val="00FD2F66"/>
    <w:rsid w:val="00FD3509"/>
    <w:rsid w:val="00FD4A2C"/>
    <w:rsid w:val="00FD4D4D"/>
    <w:rsid w:val="00FD5DC0"/>
    <w:rsid w:val="00FD710A"/>
    <w:rsid w:val="00FE0942"/>
    <w:rsid w:val="00FE1655"/>
    <w:rsid w:val="00FE1DBC"/>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B7592"/>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uiPriority w:val="59"/>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A714A0"/>
    <w:pPr>
      <w:suppressLineNumbers/>
    </w:pPr>
    <w:rPr>
      <w:rFonts w:cs="Mangal"/>
    </w:rPr>
  </w:style>
  <w:style w:type="paragraph" w:customStyle="1" w:styleId="dizin0">
    <w:name w:val="dizin"/>
    <w:basedOn w:val="Normal"/>
    <w:qFormat/>
    <w:rsid w:val="00EA7D57"/>
    <w:pPr>
      <w:spacing w:before="100" w:beforeAutospacing="1" w:after="100" w:afterAutospacing="1"/>
    </w:pPr>
  </w:style>
  <w:style w:type="character" w:customStyle="1" w:styleId="ListLabel13">
    <w:name w:val="ListLabel 13"/>
    <w:qFormat/>
    <w:rsid w:val="00331362"/>
    <w:rPr>
      <w:b/>
      <w:color w:val="auto"/>
    </w:rPr>
  </w:style>
  <w:style w:type="paragraph" w:customStyle="1" w:styleId="dizin00">
    <w:name w:val="dizin0"/>
    <w:basedOn w:val="Normal"/>
    <w:rsid w:val="00146BE9"/>
    <w:pPr>
      <w:spacing w:before="100" w:beforeAutospacing="1" w:after="100" w:afterAutospacing="1"/>
    </w:pPr>
  </w:style>
  <w:style w:type="character" w:customStyle="1" w:styleId="Balk1Char">
    <w:name w:val="Başlık 1 Char"/>
    <w:basedOn w:val="VarsaylanParagrafYazTipi"/>
    <w:link w:val="Balk1"/>
    <w:rsid w:val="00EB7592"/>
    <w:rPr>
      <w:rFonts w:ascii="Times New Roman" w:eastAsia="Times New Roman" w:hAnsi="Times New Roman" w:cs="Times New Roman"/>
      <w:b/>
      <w:bCs/>
      <w:sz w:val="24"/>
      <w:szCs w:val="24"/>
      <w:lang w:eastAsia="tr-TR"/>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302854462">
      <w:bodyDiv w:val="1"/>
      <w:marLeft w:val="0"/>
      <w:marRight w:val="0"/>
      <w:marTop w:val="0"/>
      <w:marBottom w:val="0"/>
      <w:divBdr>
        <w:top w:val="none" w:sz="0" w:space="0" w:color="auto"/>
        <w:left w:val="none" w:sz="0" w:space="0" w:color="auto"/>
        <w:bottom w:val="none" w:sz="0" w:space="0" w:color="auto"/>
        <w:right w:val="none" w:sz="0" w:space="0" w:color="auto"/>
      </w:divBdr>
    </w:div>
    <w:div w:id="373848132">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1960452312">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CB316-BA5F-49AB-8C43-83538053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1188</Words>
  <Characters>6775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9</cp:revision>
  <cp:lastPrinted>2023-11-23T06:43:00Z</cp:lastPrinted>
  <dcterms:created xsi:type="dcterms:W3CDTF">2025-11-19T07:56:00Z</dcterms:created>
  <dcterms:modified xsi:type="dcterms:W3CDTF">2025-12-11T10:28:00Z</dcterms:modified>
</cp:coreProperties>
</file>